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宋体"/>
          <w:b/>
          <w:i w:val="0"/>
          <w:sz w:val="38"/>
        </w:rPr>
        <w:t>Reynolds–Finan 异质核有限元分析</w:t>
      </w:r>
    </w:p>
    <w:p>
      <w:pPr>
        <w:spacing w:after="200"/>
        <w:jc w:val="center"/>
      </w:pPr>
      <w:r>
        <w:rPr>
          <w:rFonts w:ascii="Times New Roman" w:hAnsi="Times New Roman" w:eastAsia="宋体"/>
          <w:b/>
          <w:i w:val="0"/>
          <w:color w:val="245A74"/>
          <w:sz w:val="26"/>
        </w:rPr>
        <w:t>审查与修改报告（第二版·五轮整合）</w:t>
      </w:r>
    </w:p>
    <w:p>
      <w:pPr>
        <w:spacing w:after="40"/>
        <w:jc w:val="center"/>
      </w:pPr>
      <w:r>
        <w:rPr>
          <w:rFonts w:ascii="Times New Roman" w:hAnsi="Times New Roman" w:eastAsia="宋体"/>
          <w:b w:val="0"/>
          <w:i w:val="0"/>
          <w:color w:val="4B5A6A"/>
          <w:sz w:val="18"/>
        </w:rPr>
        <w:t>审查对象：Reynolds_Finan_FEM_Nature_optimized_20260810.docx　｜　配套代码包：submission_ready_nature_optimized_20260810.zip</w:t>
      </w:r>
    </w:p>
    <w:p>
      <w:pPr>
        <w:spacing w:after="240"/>
        <w:jc w:val="center"/>
      </w:pPr>
      <w:r>
        <w:rPr>
          <w:rFonts w:ascii="Times New Roman" w:hAnsi="Times New Roman" w:eastAsia="宋体"/>
          <w:b w:val="0"/>
          <w:i w:val="0"/>
          <w:color w:val="4B5A6A"/>
          <w:sz w:val="18"/>
        </w:rPr>
        <w:t>首版 2026-08-11　｜　本版 2026-08-12　｜　在线版 https://fenxi.aiimage.icu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E3EEF4"/>
          </w:tcPr>
          <w:p>
            <w:r/>
            <w:r>
              <w:rPr>
                <w:b/>
                <w:sz w:val="20"/>
              </w:rPr>
              <w:t xml:space="preserve">本版说明　</w:t>
            </w:r>
            <w:r>
              <w:rPr>
                <w:rFonts w:ascii="Times New Roman" w:hAnsi="Times New Roman" w:eastAsia="宋体"/>
                <w:b w:val="0"/>
                <w:sz w:val="20"/>
              </w:rPr>
              <w:t>第二版把五轮审查整合为一份文档，</w:t>
            </w:r>
            <w:r>
              <w:rPr>
                <w:rFonts w:ascii="Times New Roman" w:hAnsi="Times New Roman" w:eastAsia="宋体"/>
                <w:b/>
                <w:sz w:val="20"/>
              </w:rPr>
              <w:t>修正与撤回在正文原位标注</w:t>
            </w:r>
            <w:r>
              <w:rPr>
                <w:rFonts w:ascii="Times New Roman" w:hAnsi="Times New Roman" w:eastAsia="宋体"/>
                <w:b w:val="0"/>
                <w:sz w:val="20"/>
              </w:rPr>
              <w:t>，不再以附录追加。第 12 章是完整的撤回与修正记录。共两条结论被撤回（§2.2 直接归因、§2.4 载荷类型），一条被精化（§1.3），并新增一条与第一梯队同级的建议（建议 23）。</w:t>
            </w:r>
          </w:p>
        </w:tc>
      </w:tr>
    </w:tbl>
    <w:p>
      <w:pPr>
        <w:spacing w:after="40"/>
      </w:pPr>
    </w:p>
    <w:p>
      <w:pPr>
        <w:pStyle w:val="Heading1"/>
      </w:pPr>
      <w:r>
        <w:t>0　执行摘要</w:t>
      </w:r>
    </w:p>
    <w:p>
      <w:pPr>
        <w:pStyle w:val="Heading2"/>
      </w:pPr>
      <w:r>
        <w:t>0.1　审查方式</w:t>
      </w:r>
    </w:p>
    <w:p>
      <w:r>
        <w:rPr>
          <w:rFonts w:ascii="Times New Roman" w:hAnsi="Times New Roman" w:eastAsia="宋体"/>
          <w:b w:val="0"/>
          <w:i w:val="0"/>
          <w:sz w:val="21"/>
        </w:rPr>
        <w:t>本报告的结论不是对原文的转述，全部数字均独立复算或实跑得到。五轮工作：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轮次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工作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关键产出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全文通读 ＋ Table S2 数值独立复算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网格收敛、Richardson 外推、量纲换算、Finan 映射、J_g 分解一致性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二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9 张图逐张核对（主图 3 张 ＋ 补图 6 张）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图文数值零矛盾；6 个新证据，几乎全部加重原有批评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三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源码 9 650 行逐项审计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 个存疑点定案，其中 1 条原批评撤回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四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闭式推导 ＋ 与已发表端点对账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预张力不变性、弹性合力变号、方向性的解析证明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五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第二梯队 7 个脚本落地并在已发表数据上实跑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粗网格验收失败、Sobol 独立证实、连续域最不利点</w:t>
            </w:r>
          </w:p>
        </w:tc>
      </w:tr>
    </w:tbl>
    <w:p>
      <w:pPr>
        <w:spacing w:after="40"/>
      </w:pPr>
    </w:p>
    <w:p>
      <w:pPr>
        <w:pStyle w:val="Heading2"/>
      </w:pPr>
      <w:r>
        <w:t>0.2　三层级问题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层级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问题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后果</w:t>
            </w:r>
          </w:p>
        </w:tc>
      </w:tr>
      <w:tr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A　数值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主结果用了 5 个离散化里</w:t>
            </w:r>
            <w:r>
              <w:rPr>
                <w:rFonts w:ascii="Times New Roman" w:hAnsi="Times New Roman" w:eastAsia="宋体"/>
                <w:b/>
                <w:sz w:val="18"/>
              </w:rPr>
              <w:t>最不收敛</w:t>
            </w:r>
            <w:r>
              <w:rPr>
                <w:rFonts w:ascii="Times New Roman" w:hAnsi="Times New Roman" w:eastAsia="宋体"/>
                <w:b w:val="0"/>
                <w:sz w:val="18"/>
              </w:rPr>
              <w:t>的那个；高渗组 h 收敛</w:t>
            </w:r>
            <w:r>
              <w:rPr>
                <w:rFonts w:ascii="Times New Roman" w:hAnsi="Times New Roman" w:eastAsia="宋体"/>
                <w:b/>
                <w:sz w:val="18"/>
              </w:rPr>
              <w:t>非单调</w:t>
            </w:r>
            <w:r>
              <w:rPr>
                <w:rFonts w:ascii="Times New Roman" w:hAnsi="Times New Roman" w:eastAsia="宋体"/>
                <w:b w:val="0"/>
                <w:sz w:val="18"/>
              </w:rPr>
              <w:t>；全部 141 对 UQ 跑在 710 顶点粗网格上，而</w:t>
            </w:r>
            <w:r>
              <w:rPr>
                <w:rFonts w:ascii="Times New Roman" w:hAnsi="Times New Roman" w:eastAsia="宋体"/>
                <w:b/>
                <w:sz w:val="18"/>
              </w:rPr>
              <w:t>那张网格的染色质相分数超出项目自定门槛 3.1 倍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头条 −42.34% 站不住，收敛值约 −44.5%；UQ 求解的是数字化未通过验收的材料场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B　力学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方向性可闭式证明，141 个点不翻号是本构的推论而非发现；扣掉预张力那个与变形无关的常数后，弹性合力</w:t>
            </w:r>
            <w:r>
              <w:rPr>
                <w:rFonts w:ascii="Times New Roman" w:hAnsi="Times New Roman" w:eastAsia="宋体"/>
                <w:b/>
                <w:sz w:val="18"/>
              </w:rPr>
              <w:t>变号</w:t>
            </w:r>
            <w:r>
              <w:rPr>
                <w:rFonts w:ascii="Times New Roman" w:hAnsi="Times New Roman" w:eastAsia="宋体"/>
                <w:b w:val="0"/>
                <w:sz w:val="18"/>
              </w:rPr>
              <w:t>而非松弛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"epistemic robustness" 一章论证力接近 0；头条百分比的分母 76% 是假设常数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　科学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没做均质核对照，异质染色质输入可能对头条结论不起作用；预测在方向上不可证伪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论文卖点与结论之间没有因果链；Flipper 方向检验没有区分力</w:t>
            </w:r>
          </w:p>
        </w:tc>
      </w:tr>
    </w:tbl>
    <w:p>
      <w:pPr>
        <w:spacing w:after="40"/>
      </w:pPr>
    </w:p>
    <w:p>
      <w:pPr>
        <w:pStyle w:val="Heading2"/>
      </w:pPr>
      <w:r>
        <w:t>0.3　定位判断</w:t>
      </w:r>
    </w:p>
    <w:p>
      <w:r>
        <w:rPr>
          <w:rFonts w:ascii="Times New Roman" w:hAnsi="Times New Roman" w:eastAsia="宋体"/>
          <w:b w:val="0"/>
          <w:i w:val="0"/>
          <w:sz w:val="21"/>
        </w:rPr>
        <w:t>这是一个纯计算、通用几何、零实验、结论方向由构造决定的工作。以现状投 Nature 主刊会在编辑部台面被拒（desk reject），不是因为质量差，而是因为不存在"意外发现"。合适的去处是 Biophysical Journal / Biomech Model Mechanobiol / PLoS Comput Biol / J Mech Behav Biomed Mater。若坚持冲高影响因子，必须先把 Flipper 实验做完并入正文，且必须有一个"模型预测了非平凡的事、实验验证了"的环节（见 §3.1）。</w:t>
      </w:r>
    </w:p>
    <w:p>
      <w:pPr>
        <w:pStyle w:val="Heading2"/>
      </w:pPr>
      <w:r>
        <w:t>0.4　原稿的可取之处（应保留）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Table S3 的 claim/placement 矩阵、Table S1 的 provenance 分级（assumption / provisional / literature mapped / digitized）是很少见的自律做法，直接回答了审稿人最爱问的"哪些数是你编的"。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局部峰值过不了 P1/P2 门槛就主动降为 exploratory，没有硬报。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明确声明不是反演标定、Flipper 只做方向性独立检验、失败尝试（CUDA direct / GMRES）留档。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先冻结预测再做实验的流程。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灰度标定用报告的低/中/高相比例 57%/31%/12% 做单调校准，这个想法很好，应在正文更突出。</w:t>
      </w:r>
    </w:p>
    <w:p>
      <w:r>
        <w:br w:type="page"/>
      </w:r>
    </w:p>
    <w:p>
      <w:pPr>
        <w:pStyle w:val="Heading1"/>
      </w:pPr>
      <w:r>
        <w:t>1　A 类：数值验证问题</w:t>
      </w:r>
    </w:p>
    <w:p>
      <w:r>
        <w:rPr>
          <w:rFonts w:ascii="Times New Roman" w:hAnsi="Times New Roman" w:eastAsia="宋体"/>
          <w:b w:val="0"/>
          <w:i w:val="0"/>
          <w:sz w:val="21"/>
        </w:rPr>
        <w:t>这一层是会被直接拒稿的。好消息是全部改完之后结论反而更强。</w:t>
      </w:r>
    </w:p>
    <w:p>
      <w:pPr>
        <w:pStyle w:val="Heading2"/>
      </w:pPr>
      <w:r>
        <w:t>1.1　主结果选错了离散化</w:t>
      </w:r>
    </w:p>
    <w:p>
      <w:r>
        <w:rPr>
          <w:rFonts w:ascii="Times New Roman" w:hAnsi="Times New Roman" w:eastAsia="宋体"/>
          <w:b w:val="0"/>
          <w:i w:val="0"/>
          <w:sz w:val="21"/>
        </w:rPr>
        <w:t>把 Table S2 的五个离散化各自算出组间变化：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离散化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h (µm)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dofs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Control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Hyper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变化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coarse P1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1.25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2 130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0.060352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0.037475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−37.91%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inter P1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0.75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6 771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0.065003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0.038412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−40.91%</w:t>
            </w:r>
          </w:p>
        </w:tc>
      </w:tr>
      <w:tr>
        <w:tc>
          <w:tcPr>
            <w:tcW w:type="dxa" w:w="1586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main P1　← 现在报的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0.45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22 593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0.066064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0.038092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−42.34%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coarse P2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1.25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14 646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0.062100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0.034376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−44.64%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inter P2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0.75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48 909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0.067416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0.037408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−44.51%</w:t>
            </w:r>
          </w:p>
        </w:tc>
      </w:tr>
    </w:tbl>
    <w:p>
      <w:pPr>
        <w:spacing w:after="40"/>
      </w:pP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P1 族还在漂</w:t>
      </w:r>
      <w:r>
        <w:rPr>
          <w:rFonts w:ascii="Times New Roman" w:hAnsi="Times New Roman" w:eastAsia="宋体"/>
          <w:b w:val="0"/>
          <w:sz w:val="21"/>
        </w:rPr>
        <w:t>：−37.9 → −40.9 → −42.3，每次加密仍下移 3.0 pp、1.4 pp，外推极限约 −43.6 ~ −44.5%。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P2 族已经收敛</w:t>
      </w:r>
      <w:r>
        <w:rPr>
          <w:rFonts w:ascii="Times New Roman" w:hAnsi="Times New Roman" w:eastAsia="宋体"/>
          <w:b w:val="0"/>
          <w:sz w:val="21"/>
        </w:rPr>
        <w:t>：粗网格 −44.64%、中等网格 −44.51%，只差 0.13 pp，而网格量差 3.4 倍。</w:t>
      </w:r>
    </w:p>
    <w:p>
      <w:r>
        <w:rPr>
          <w:rFonts w:ascii="Times New Roman" w:hAnsi="Times New Roman" w:eastAsia="宋体"/>
          <w:b w:val="0"/>
          <w:i w:val="0"/>
          <w:sz w:val="21"/>
        </w:rPr>
        <w:t>也就是说 coarse_h1p25_P2（14 646 dof）比 main_h0p45_P1（22 593 dof）</w:t>
      </w:r>
      <w:r>
        <w:rPr>
          <w:rFonts w:ascii="Times New Roman" w:hAnsi="Times New Roman" w:eastAsia="宋体"/>
          <w:b/>
          <w:i w:val="0"/>
          <w:sz w:val="21"/>
        </w:rPr>
        <w:t>又便宜又准</w:t>
      </w:r>
      <w:r>
        <w:rPr>
          <w:rFonts w:ascii="Times New Roman" w:hAnsi="Times New Roman" w:eastAsia="宋体"/>
          <w:b w:val="0"/>
          <w:i w:val="0"/>
          <w:sz w:val="21"/>
        </w:rPr>
        <w:t>。把最不收敛的 P1 当头条，是把自己的结论往小里报了 2 个百分点，同时给审稿人送了一把刀。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　</w:t>
            </w:r>
            <w:r>
              <w:rPr>
                <w:rFonts w:ascii="Times New Roman" w:hAnsi="Times New Roman" w:eastAsia="宋体"/>
                <w:b w:val="0"/>
                <w:sz w:val="20"/>
              </w:rPr>
              <w:t xml:space="preserve">production 换 P2。最低限度用 intermediate_h0p75_P2；有算力就补 main_h0p45_P2（`--include-main-p2` 上游已支持）。头条改为 </w:t>
            </w:r>
            <w:r>
              <w:rPr>
                <w:rFonts w:ascii="Times New Roman" w:hAnsi="Times New Roman" w:eastAsia="宋体"/>
                <w:b/>
                <w:sz w:val="20"/>
              </w:rPr>
              <w:t>−44.5%</w:t>
            </w:r>
            <w:r>
              <w:rPr>
                <w:rFonts w:ascii="Times New Roman" w:hAnsi="Times New Roman" w:eastAsia="宋体"/>
                <w:b w:val="0"/>
                <w:sz w:val="20"/>
              </w:rPr>
              <w:t>，或更稳妥地写 −44%。Table S2 加一列"组间变化 %"，把 −37.9 ~ −44.6 全部亮出来——审稿人自己会算，不如自己先算。</w:t>
            </w:r>
          </w:p>
        </w:tc>
      </w:tr>
    </w:tbl>
    <w:p>
      <w:pPr>
        <w:spacing w:after="40"/>
      </w:pPr>
    </w:p>
    <w:p>
      <w:pPr>
        <w:pStyle w:val="Heading2"/>
      </w:pPr>
      <w:r>
        <w:t>1.2　高渗组 h 收敛非单调，"passes h-refinement" 不成立</w:t>
      </w:r>
    </w:p>
    <w:p>
      <w:r>
        <w:rPr>
          <w:rFonts w:ascii="Times New Roman" w:hAnsi="Times New Roman" w:eastAsia="宋体"/>
          <w:b w:val="0"/>
          <w:i w:val="0"/>
          <w:sz w:val="21"/>
        </w:rPr>
        <w:t>Control：0.060352 → 0.065003 → 0.066064，单调，增量比 4.38，收敛阶 p≈2.89，GCI≈0.59%，这条没问题。</w:t>
      </w:r>
    </w:p>
    <w:p>
      <w:r>
        <w:rPr>
          <w:rFonts w:ascii="Times New Roman" w:hAnsi="Times New Roman" w:eastAsia="宋体"/>
          <w:b w:val="0"/>
          <w:i w:val="0"/>
          <w:sz w:val="21"/>
        </w:rPr>
        <w:t>Hyperosmotic：0.037475 → 0.038412 → 0.038092，</w:t>
      </w:r>
      <w:r>
        <w:rPr>
          <w:rFonts w:ascii="Times New Roman" w:hAnsi="Times New Roman" w:eastAsia="宋体"/>
          <w:b/>
          <w:i w:val="0"/>
          <w:sz w:val="21"/>
        </w:rPr>
        <w:t>增量符号翻转</w:t>
      </w:r>
      <w:r>
        <w:rPr>
          <w:rFonts w:ascii="Times New Roman" w:hAnsi="Times New Roman" w:eastAsia="宋体"/>
          <w:b w:val="0"/>
          <w:i w:val="0"/>
          <w:sz w:val="21"/>
        </w:rPr>
        <w:t xml:space="preserve">（+0.000937 然后 −0.000320）。这是振荡收敛，Richardson/GCI </w:t>
      </w:r>
      <w:r>
        <w:rPr>
          <w:rFonts w:ascii="Times New Roman" w:hAnsi="Times New Roman" w:eastAsia="宋体"/>
          <w:b/>
          <w:i w:val="0"/>
          <w:sz w:val="21"/>
        </w:rPr>
        <w:t>无法计算</w:t>
      </w:r>
      <w:r>
        <w:rPr>
          <w:rFonts w:ascii="Times New Roman" w:hAnsi="Times New Roman" w:eastAsia="宋体"/>
          <w:b w:val="0"/>
          <w:i w:val="0"/>
          <w:sz w:val="21"/>
        </w:rPr>
        <w:t>。现报的"高渗组 h 加密差 0.84%"是振荡的巧合，不是收敛度量。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2　</w:t>
            </w:r>
            <w:r>
              <w:rPr>
                <w:rFonts w:ascii="Times New Roman" w:hAnsi="Times New Roman" w:eastAsia="宋体"/>
                <w:b w:val="0"/>
                <w:sz w:val="20"/>
              </w:rPr>
              <w:t>Control 报 GCI（0.59%）；Hyperosmotic 明确写"h 收敛非单调，故不报 GCI，改以 P2 双网格一致性（0.13 pp）作为离散化证据"。Table S3 中 "Mean endpoint passes h- and p-refinement" 这条 reason 必须重写。</w:t>
            </w:r>
          </w:p>
        </w:tc>
      </w:tr>
    </w:tbl>
    <w:p>
      <w:pPr>
        <w:spacing w:after="40"/>
      </w:pPr>
    </w:p>
    <w:p>
      <w:pPr>
        <w:pStyle w:val="Heading2"/>
      </w:pPr>
      <w:r>
        <w:t>1.3　P1 与 P2 外推到不同极限（本条已精化）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Control 的 P1 三点 Richardson 极限是 0.066378，而 P2 在中等网格已给出 0.067416，差 </w:t>
      </w:r>
      <w:r>
        <w:rPr>
          <w:rFonts w:ascii="Times New Roman" w:hAnsi="Times New Roman" w:eastAsia="宋体"/>
          <w:b/>
          <w:i w:val="0"/>
          <w:sz w:val="21"/>
        </w:rPr>
        <w:t>1.54%</w:t>
      </w:r>
      <w:r>
        <w:rPr>
          <w:rFonts w:ascii="Times New Roman" w:hAnsi="Times New Roman" w:eastAsia="宋体"/>
          <w:b w:val="0"/>
          <w:i w:val="0"/>
          <w:sz w:val="21"/>
        </w:rPr>
        <w:t>。同一连续问题的两族离散化不可能收敛到不同极限。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E3EEF4"/>
          </w:tcPr>
          <w:p>
            <w:r/>
            <w:r>
              <w:rPr>
                <w:b/>
                <w:sz w:val="20"/>
              </w:rPr>
              <w:t xml:space="preserve">第五轮精化　</w:t>
            </w:r>
            <w:r>
              <w:rPr>
                <w:rFonts w:ascii="Times New Roman" w:hAnsi="Times New Roman" w:eastAsia="宋体"/>
                <w:b w:val="0"/>
                <w:sz w:val="20"/>
              </w:rPr>
              <w:t>首版把主因归为"材料场重采样"。第五轮发现</w:t>
            </w:r>
            <w:r>
              <w:rPr>
                <w:rFonts w:ascii="Times New Roman" w:hAnsi="Times New Roman" w:eastAsia="宋体"/>
                <w:b/>
                <w:sz w:val="20"/>
              </w:rPr>
              <w:t>同一网格上 P1 与 P2 的相分数逐位相同</w:t>
            </w:r>
            <w:r>
              <w:rPr>
                <w:rFonts w:ascii="Times New Roman" w:hAnsi="Times New Roman" w:eastAsia="宋体"/>
                <w:b w:val="0"/>
                <w:sz w:val="20"/>
              </w:rPr>
              <w:t>（元素集合不随阶次改变），因此必须拆成两条：</w:t>
            </w:r>
            <w:r>
              <w:rPr>
                <w:rFonts w:ascii="Times New Roman" w:hAnsi="Times New Roman" w:eastAsia="宋体"/>
                <w:b/>
                <w:sz w:val="20"/>
              </w:rPr>
              <w:t>同网格 P1/P2 的 3.58%/2.69% 差是纯锁定</w:t>
            </w:r>
            <w:r>
              <w:rPr>
                <w:rFonts w:ascii="Times New Roman" w:hAnsi="Times New Roman" w:eastAsia="宋体"/>
                <w:b w:val="0"/>
                <w:sz w:val="20"/>
              </w:rPr>
              <w:t>，不是混叠；</w:t>
            </w:r>
            <w:r>
              <w:rPr>
                <w:rFonts w:ascii="Times New Roman" w:hAnsi="Times New Roman" w:eastAsia="宋体"/>
                <w:b/>
                <w:sz w:val="20"/>
              </w:rPr>
              <w:t>跨网格才重采样材料场</w:t>
            </w:r>
            <w:r>
              <w:rPr>
                <w:rFonts w:ascii="Times New Roman" w:hAnsi="Times New Roman" w:eastAsia="宋体"/>
                <w:b w:val="0"/>
                <w:sz w:val="20"/>
              </w:rPr>
              <w:t>，且 P1 的 h 序列基点（粗网格）材料场超差 3.1 倍（见 §1.9）。两个病因对应两条不同修法——换单元 vs 网格无关投影——</w:t>
            </w:r>
            <w:r>
              <w:rPr>
                <w:rFonts w:ascii="Times New Roman" w:hAnsi="Times New Roman" w:eastAsia="宋体"/>
                <w:b/>
                <w:sz w:val="20"/>
              </w:rPr>
              <w:t>不能只做一个</w:t>
            </w:r>
            <w:r>
              <w:rPr>
                <w:rFonts w:ascii="Times New Roman" w:hAnsi="Times New Roman" w:eastAsia="宋体"/>
                <w:b w:val="0"/>
                <w:sz w:val="20"/>
              </w:rPr>
              <w:t>。</w:t>
            </w:r>
          </w:p>
        </w:tc>
      </w:tr>
    </w:tbl>
    <w:p>
      <w:pPr>
        <w:spacing w:after="40"/>
      </w:pPr>
    </w:p>
    <w:p>
      <w:pPr>
        <w:pStyle w:val="Heading2"/>
      </w:pPr>
      <w:r>
        <w:t>1.4　网格分辨不了模型的两个关键尺度</w:t>
      </w:r>
    </w:p>
    <w:p>
      <w:r>
        <w:rPr>
          <w:rFonts w:ascii="Times New Roman" w:hAnsi="Times New Roman" w:eastAsia="宋体"/>
          <w:b w:val="0"/>
          <w:i w:val="0"/>
          <w:sz w:val="21"/>
        </w:rPr>
        <w:t>从 dof 反推（P1 向量场，3 dof/节点，椭球体积 604.6 µm³）：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网格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顶点数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平均间距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与壳厚 0.12 µm 之比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coarse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710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0.95 µm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7.9×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intermediate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2 257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0.64 µm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5.4×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main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7 531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0.43 µm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3.6×</w:t>
            </w:r>
          </w:p>
        </w:tc>
      </w:tr>
    </w:tbl>
    <w:p>
      <w:pPr>
        <w:spacing w:after="40"/>
      </w:pP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壳层</w:t>
      </w:r>
      <w:r>
        <w:rPr>
          <w:rFonts w:ascii="Times New Roman" w:hAnsi="Times New Roman" w:eastAsia="宋体"/>
          <w:b w:val="0"/>
          <w:sz w:val="21"/>
        </w:rPr>
        <w:t>：0.12 µm 的 lamina，最细网格的单元也比它大 3.6 倍。第三轮源码审计确认壳是 gmsh 内缩 0.12 µm 的实体薄层四面体，因此必然是极端长宽比单元，单元质量必须报告。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染色质</w:t>
      </w:r>
      <w:r>
        <w:rPr>
          <w:rFonts w:ascii="Times New Roman" w:hAnsi="Times New Roman" w:eastAsia="宋体"/>
          <w:b w:val="0"/>
          <w:sz w:val="21"/>
        </w:rPr>
        <w:t>：输入为 50³ 体素（约 0.30 × 0.22 × 0.14 µm/体素），主网格间距 0.43 µm，材料场</w:t>
      </w:r>
      <w:r>
        <w:rPr>
          <w:rFonts w:ascii="Times New Roman" w:hAnsi="Times New Roman" w:eastAsia="宋体"/>
          <w:b/>
          <w:sz w:val="21"/>
        </w:rPr>
        <w:t>欠采样一个数量级</w:t>
      </w:r>
      <w:r>
        <w:rPr>
          <w:rFonts w:ascii="Times New Roman" w:hAnsi="Times New Roman" w:eastAsia="宋体"/>
          <w:b w:val="0"/>
          <w:sz w:val="21"/>
        </w:rPr>
        <w:t>，十个灰度组严重混叠。加密网格的同时材料场也在变，所以跨网格的 h 加密在数学上不是在收敛到一个固定问题。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3（必做）　</w:t>
            </w:r>
            <w:r>
              <w:rPr>
                <w:rFonts w:ascii="Times New Roman" w:hAnsi="Times New Roman" w:eastAsia="宋体"/>
                <w:b w:val="0"/>
                <w:sz w:val="20"/>
              </w:rPr>
              <w:t>① 补方法学：壳的单元类型、厚度进入弱形式的方式、resultant proxy 的完整公式（代码里都有，见 §7）。② 材料赋值改为</w:t>
            </w:r>
            <w:r>
              <w:rPr>
                <w:rFonts w:ascii="Times New Roman" w:hAnsi="Times New Roman" w:eastAsia="宋体"/>
                <w:b/>
                <w:sz w:val="20"/>
              </w:rPr>
              <w:t>网格无关</w:t>
            </w:r>
            <w:r>
              <w:rPr>
                <w:rFonts w:ascii="Times New Roman" w:hAnsi="Times New Roman" w:eastAsia="宋体"/>
                <w:b w:val="0"/>
                <w:sz w:val="20"/>
              </w:rPr>
              <w:t>投影：先把 50³ 场用固定 L² 投影或高阶插值定义为连续场 μ(x)，再在积分点求值。③ 做不到就必须在 limitation 明写"h/p 收敛研究受材料场重采样污染，报告的离散化误差是下界"。</w:t>
            </w:r>
          </w:p>
        </w:tc>
      </w:tr>
    </w:tbl>
    <w:p>
      <w:pPr>
        <w:spacing w:after="40"/>
      </w:pPr>
    </w:p>
    <w:p>
      <w:pPr>
        <w:pStyle w:val="Heading2"/>
      </w:pPr>
      <w:r>
        <w:t>1.5　残差判据的三处问题</w:t>
      </w:r>
    </w:p>
    <w:p>
      <w:pPr>
        <w:pStyle w:val="ListNumber"/>
        <w:spacing w:after="60"/>
      </w:pPr>
      <w:r>
        <w:rPr>
          <w:rFonts w:ascii="Times New Roman" w:hAnsi="Times New Roman" w:eastAsia="宋体"/>
          <w:b w:val="0"/>
          <w:sz w:val="21"/>
        </w:rPr>
        <w:t>正文写 &lt;1e-6，Table S1 写 1e-07 —— 两个门槛不一致，必须选一个。这不是笔误：Figure S5 面板 b 显示 128 个 UQ 平衡解的最大残差散布到 ~1e-7 附近（若干点 6–9e-8），</w:t>
      </w:r>
      <w:r>
        <w:rPr>
          <w:rFonts w:ascii="Times New Roman" w:hAnsi="Times New Roman" w:eastAsia="宋体"/>
          <w:b/>
          <w:sz w:val="21"/>
        </w:rPr>
        <w:t>按 1e-7 会有算例贴线甚至越线</w:t>
      </w:r>
      <w:r>
        <w:rPr>
          <w:rFonts w:ascii="Times New Roman" w:hAnsi="Times New Roman" w:eastAsia="宋体"/>
          <w:b w:val="0"/>
          <w:sz w:val="21"/>
        </w:rPr>
        <w:t>，直接改变部分算例是否通过验收。</w:t>
      </w:r>
    </w:p>
    <w:p>
      <w:pPr>
        <w:pStyle w:val="ListNumber"/>
        <w:spacing w:after="60"/>
      </w:pPr>
      <w:r>
        <w:rPr>
          <w:rFonts w:ascii="Times New Roman" w:hAnsi="Times New Roman" w:eastAsia="宋体"/>
          <w:b w:val="0"/>
          <w:sz w:val="21"/>
        </w:rPr>
        <w:t>用的是</w:t>
      </w:r>
      <w:r>
        <w:rPr>
          <w:rFonts w:ascii="Times New Roman" w:hAnsi="Times New Roman" w:eastAsia="宋体"/>
          <w:b/>
          <w:sz w:val="21"/>
        </w:rPr>
        <w:t>绝对</w:t>
      </w:r>
      <w:r>
        <w:rPr>
          <w:rFonts w:ascii="Times New Roman" w:hAnsi="Times New Roman" w:eastAsia="宋体"/>
          <w:b w:val="0"/>
          <w:sz w:val="21"/>
        </w:rPr>
        <w:t>残差范数。绝对残差随网格、载荷、单位制变化，没有参照量就没有意义，必须报相对残差（除以外载荷范数或首次 Newton 残差）。</w:t>
      </w:r>
    </w:p>
    <w:p>
      <w:pPr>
        <w:pStyle w:val="ListNumber"/>
        <w:spacing w:after="60"/>
      </w:pPr>
      <w:r>
        <w:rPr>
          <w:rFonts w:ascii="Times New Roman" w:hAnsi="Times New Roman" w:eastAsia="宋体"/>
          <w:b w:val="0"/>
          <w:sz w:val="21"/>
        </w:rPr>
        <w:t>coarse_h1p25_P1 / Hyperosmotic 的残差是 2.67e-8，比其余算例（~1e-10）大 100 倍，而全部 UQ 都跑在这张网格上。建议把 141 对 UQ 的残差分布放进 Figure S5。</w:t>
      </w:r>
    </w:p>
    <w:p>
      <w:pPr>
        <w:pStyle w:val="Heading2"/>
      </w:pPr>
      <w:r>
        <w:t>1.6　P1 线性四面体 ＋ 近不可压核 ＝ 体积锁定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核的 K/G = 30 → ν = 0.4835（近不可压）。线性四面体是近不可压有限变形弹性里最差的单元。Figure S2 左下面板（作者自题 "Near-incompressibility / locking audit"）给出直接证据：mean shell 差 3.5% 过 10% 门槛，但 </w:t>
      </w:r>
      <w:r>
        <w:rPr>
          <w:rFonts w:ascii="Times New Roman" w:hAnsi="Times New Roman" w:eastAsia="宋体"/>
          <w:b/>
          <w:i w:val="0"/>
          <w:sz w:val="21"/>
        </w:rPr>
        <w:t>resolved shear max 差约 21%、principal stress max 差约 72%</w:t>
      </w:r>
      <w:r>
        <w:rPr>
          <w:rFonts w:ascii="Times New Roman" w:hAnsi="Times New Roman" w:eastAsia="宋体"/>
          <w:b w:val="0"/>
          <w:i w:val="0"/>
          <w:sz w:val="21"/>
        </w:rPr>
        <w:t>——差了七倍于门槛。§1.3 已证同网格 P1/P2 的材料场完全一致，所以这个差</w:t>
      </w:r>
      <w:r>
        <w:rPr>
          <w:rFonts w:ascii="Times New Roman" w:hAnsi="Times New Roman" w:eastAsia="宋体"/>
          <w:b/>
          <w:i w:val="0"/>
          <w:sz w:val="21"/>
        </w:rPr>
        <w:t>确定</w:t>
      </w:r>
      <w:r>
        <w:rPr>
          <w:rFonts w:ascii="Times New Roman" w:hAnsi="Times New Roman" w:eastAsia="宋体"/>
          <w:b w:val="0"/>
          <w:i w:val="0"/>
          <w:sz w:val="21"/>
        </w:rPr>
        <w:t>是锁定。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4　</w:t>
            </w:r>
            <w:r>
              <w:rPr>
                <w:rFonts w:ascii="Times New Roman" w:hAnsi="Times New Roman" w:eastAsia="宋体"/>
                <w:b w:val="0"/>
                <w:sz w:val="20"/>
              </w:rPr>
              <w:t>production 用 P2，或改用混合 u–p / F-bar / MINI 单元。Figure S2 加一张 P1 锁定诊断图（同网格 P1/P2 的 J 场对比，或体积应变能占比）。</w:t>
            </w:r>
          </w:p>
        </w:tc>
      </w:tr>
    </w:tbl>
    <w:p>
      <w:pPr>
        <w:spacing w:after="40"/>
      </w:pPr>
    </w:p>
    <w:p>
      <w:pPr>
        <w:pStyle w:val="Heading2"/>
      </w:pPr>
      <w:r>
        <w:t>1.7　完全没有稳定性检查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Newton 收敛 ＋ J&gt;0 </w:t>
      </w:r>
      <w:r>
        <w:rPr>
          <w:rFonts w:ascii="Times New Roman" w:hAnsi="Times New Roman" w:eastAsia="宋体"/>
          <w:b/>
          <w:i w:val="0"/>
          <w:sz w:val="21"/>
        </w:rPr>
        <w:t>不等于</w:t>
      </w:r>
      <w:r>
        <w:rPr>
          <w:rFonts w:ascii="Times New Roman" w:hAnsi="Times New Roman" w:eastAsia="宋体"/>
          <w:b w:val="0"/>
          <w:i w:val="0"/>
          <w:sz w:val="21"/>
        </w:rPr>
        <w:t>平衡是稳定的。三条独立证据说明这不是形式主义：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 xml:space="preserve">Fig S4d：高渗组压缩面积从 28.6% 升到 </w:t>
      </w:r>
      <w:r>
        <w:rPr>
          <w:rFonts w:ascii="Times New Roman" w:hAnsi="Times New Roman" w:eastAsia="宋体"/>
          <w:b/>
          <w:sz w:val="21"/>
        </w:rPr>
        <w:t>62.6%</w:t>
      </w:r>
      <w:r>
        <w:rPr>
          <w:rFonts w:ascii="Times New Roman" w:hAnsi="Times New Roman" w:eastAsia="宋体"/>
          <w:b w:val="0"/>
          <w:sz w:val="21"/>
        </w:rPr>
        <w:t>，P5 最小主合力从 −0.04 恶化到 −0.075 mN/m。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 xml:space="preserve">第四轮解析：扣掉预张力常数后，高渗态弹性合力为 </w:t>
      </w:r>
      <w:r>
        <w:rPr>
          <w:rFonts w:ascii="Times New Roman" w:hAnsi="Times New Roman" w:eastAsia="宋体"/>
          <w:b/>
          <w:sz w:val="21"/>
        </w:rPr>
        <w:t>−0.0119 mN/m（净受压）</w:t>
      </w:r>
      <w:r>
        <w:rPr>
          <w:rFonts w:ascii="Times New Roman" w:hAnsi="Times New Roman" w:eastAsia="宋体"/>
          <w:b w:val="0"/>
          <w:sz w:val="21"/>
        </w:rPr>
        <w:t>，与上一条独立吻合。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Fig S1：高渗组残差在载荷因子约 0.62 处飙升两个数量级（~5e-8）后回落——典型的路过近失稳区指纹。</w:t>
      </w:r>
    </w:p>
    <w:p>
      <w:r>
        <w:rPr>
          <w:rFonts w:ascii="Times New Roman" w:hAnsi="Times New Roman" w:eastAsia="宋体"/>
          <w:b w:val="0"/>
          <w:i w:val="0"/>
          <w:sz w:val="21"/>
        </w:rPr>
        <w:t>真实 lamina 在净压缩下会皱曲，而模型（光滑 Newton、对称网格、无缺陷、无接触）既不捕捉屈曲，也不会告诉你它错过了分叉点。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5　</w:t>
            </w:r>
            <w:r>
              <w:rPr>
                <w:rFonts w:ascii="Times New Roman" w:hAnsi="Times New Roman" w:eastAsia="宋体"/>
                <w:b/>
                <w:sz w:val="20"/>
              </w:rPr>
              <w:t>求解器里 stability_modes 默认为 6、`_solve_tangent_stability_modes` 已完整实现，但运行脚本显式设成了 0。</w:t>
            </w:r>
            <w:r>
              <w:rPr>
                <w:rFonts w:ascii="Times New Roman" w:hAnsi="Times New Roman" w:eastAsia="宋体"/>
                <w:b w:val="0"/>
                <w:sz w:val="20"/>
              </w:rPr>
              <w:t>打开它即可。对所有被接受的平衡态报告投影切线的最小特征值 &gt; 0，重点扫载荷因子 0.5–0.7 区间；并把任何 resultant 均值 ≤ 0 的算例明确划出模型有效域。</w:t>
            </w:r>
          </w:p>
        </w:tc>
      </w:tr>
    </w:tbl>
    <w:p>
      <w:pPr>
        <w:spacing w:after="40"/>
      </w:pPr>
    </w:p>
    <w:p>
      <w:pPr>
        <w:pStyle w:val="Heading2"/>
      </w:pPr>
      <w:r>
        <w:t>1.8　缺代码本身的验证</w:t>
      </w:r>
    </w:p>
    <w:p>
      <w:r>
        <w:rPr>
          <w:rFonts w:ascii="Times New Roman" w:hAnsi="Times New Roman" w:eastAsia="宋体"/>
          <w:b w:val="0"/>
          <w:i w:val="0"/>
          <w:sz w:val="21"/>
        </w:rPr>
        <w:t>自写的 scikit-fem 工作流带乘法生长分解 Fe = F·Fg⁻¹ 和初应力残差化——这两块最容易写错，但全文只有"projected MINRES 与 augmented direct 在粗 P2 上机器精度比对"，那只验证了线性解法器。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6　</w:t>
            </w:r>
            <w:r>
              <w:rPr>
                <w:rFonts w:ascii="Times New Roman" w:hAnsi="Times New Roman" w:eastAsia="宋体"/>
                <w:b w:val="0"/>
                <w:sz w:val="20"/>
              </w:rPr>
              <w:t>① 一致切线的有限差分校验；② Neo-Hookean 厚壁球基准（均匀生长下 F = g·I 是精确解）；③ 至少一个算例与独立软件（FEniCS / Abaqus / FEBio）交叉复核。脚本 11、12 已实现前两项。</w:t>
            </w:r>
          </w:p>
        </w:tc>
      </w:tr>
    </w:tbl>
    <w:p>
      <w:pPr>
        <w:spacing w:after="40"/>
      </w:pPr>
    </w:p>
    <w:p>
      <w:pPr>
        <w:pStyle w:val="Heading2"/>
      </w:pPr>
      <w:r>
        <w:t>1.9　粗网格的染色质相分数超出项目自定门槛 3.1 倍（新增，第五轮）</w:t>
      </w:r>
    </w:p>
    <w:p>
      <w:r>
        <w:rPr>
          <w:rFonts w:ascii="Times New Roman" w:hAnsi="Times New Roman" w:eastAsia="宋体"/>
          <w:b w:val="0"/>
          <w:i w:val="0"/>
          <w:sz w:val="21"/>
        </w:rPr>
        <w:t>投稿包 heterogeneous_two_group_summary.csv 自带这个数据，逐行核验（目标为 Reynolds 报告的 57%/31%/12%，项目自定门槛 ≤0.02）：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6"/>
        <w:gridCol w:w="1586"/>
        <w:gridCol w:w="1586"/>
        <w:gridCol w:w="1586"/>
        <w:gridCol w:w="1586"/>
        <w:gridCol w:w="1586"/>
      </w:tblGrid>
      <w:tr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离散化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low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mid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high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最大偏差</w:t>
            </w:r>
          </w:p>
        </w:tc>
        <w:tc>
          <w:tcPr>
            <w:tcW w:type="dxa" w:w="1586"/>
            <w:shd w:val="clear" w:fill="F0F4F7"/>
          </w:tcPr>
          <w:p>
            <w:r/>
            <w:r>
              <w:rPr>
                <w:b/>
                <w:sz w:val="18"/>
              </w:rPr>
              <w:t>门槛 ≤0.02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intermediate_h0p75 P1/P2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0.5694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0.3100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0.1205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0.0006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PASS</w:t>
            </w:r>
          </w:p>
        </w:tc>
      </w:tr>
      <w:tr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main_h0p45 P1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0.5694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0.3100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0.1205</w:t>
            </w:r>
          </w:p>
        </w:tc>
        <w:tc>
          <w:tcPr>
            <w:tcW w:type="dxa" w:w="1586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0.0006</w:t>
            </w:r>
          </w:p>
        </w:tc>
        <w:tc>
          <w:tcPr>
            <w:tcW w:type="dxa" w:w="1586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PASS</w:t>
            </w:r>
          </w:p>
        </w:tc>
      </w:tr>
      <w:tr>
        <w:tc>
          <w:tcPr>
            <w:tcW w:type="dxa" w:w="1586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coarse_h1p25 P1/P2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0.5071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0.3540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0.1389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0.0629</w:t>
            </w:r>
          </w:p>
        </w:tc>
        <w:tc>
          <w:tcPr>
            <w:tcW w:type="dxa" w:w="1586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FAIL（3.1×）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而 numerical_acceptance.json 里的门槛键名全部是 primary_phase_fraction_*，</w:t>
      </w:r>
      <w:r>
        <w:rPr>
          <w:rFonts w:ascii="Times New Roman" w:hAnsi="Times New Roman" w:eastAsia="宋体"/>
          <w:b/>
          <w:i w:val="0"/>
          <w:sz w:val="21"/>
        </w:rPr>
        <w:t>只对 primary mesh（intermediate）检查</w:t>
      </w:r>
      <w:r>
        <w:rPr>
          <w:rFonts w:ascii="Times New Roman" w:hAnsi="Times New Roman" w:eastAsia="宋体"/>
          <w:b w:val="0"/>
          <w:i w:val="0"/>
          <w:sz w:val="21"/>
        </w:rPr>
        <w:t>，粗网格的失败因此从未浮出水面。后果有两层：</w:t>
      </w:r>
    </w:p>
    <w:p>
      <w:pPr>
        <w:pStyle w:val="ListNumber"/>
        <w:spacing w:after="60"/>
      </w:pPr>
      <w:r>
        <w:rPr>
          <w:rFonts w:ascii="Times New Roman" w:hAnsi="Times New Roman" w:eastAsia="宋体"/>
          <w:b/>
          <w:sz w:val="21"/>
        </w:rPr>
        <w:t>全部 141 对 / 282 个平衡解都跑在这张网格上</w:t>
      </w:r>
      <w:r>
        <w:rPr>
          <w:rFonts w:ascii="Times New Roman" w:hAnsi="Times New Roman" w:eastAsia="宋体"/>
          <w:b w:val="0"/>
          <w:sz w:val="21"/>
        </w:rPr>
        <w:t>（reynolds_finan_epistemic_uq.json 记录 mesh: coarse_h1p25, element_degree: 1）。UQ 不只是幅度有偏，它求解的是一个</w:t>
      </w:r>
      <w:r>
        <w:rPr>
          <w:rFonts w:ascii="Times New Roman" w:hAnsi="Times New Roman" w:eastAsia="宋体"/>
          <w:b/>
          <w:sz w:val="21"/>
        </w:rPr>
        <w:t>数字化未通过验收</w:t>
      </w:r>
      <w:r>
        <w:rPr>
          <w:rFonts w:ascii="Times New Roman" w:hAnsi="Times New Roman" w:eastAsia="宋体"/>
          <w:b w:val="0"/>
          <w:sz w:val="21"/>
        </w:rPr>
        <w:t>的染色质场。</w:t>
      </w:r>
    </w:p>
    <w:p>
      <w:pPr>
        <w:pStyle w:val="ListNumber"/>
        <w:spacing w:after="60"/>
      </w:pPr>
      <w:r>
        <w:rPr>
          <w:rFonts w:ascii="Times New Roman" w:hAnsi="Times New Roman" w:eastAsia="宋体"/>
          <w:b w:val="0"/>
          <w:sz w:val="21"/>
        </w:rPr>
        <w:t>粗网格还是 P1 三点 Richardson 外推的</w:t>
      </w:r>
      <w:r>
        <w:rPr>
          <w:rFonts w:ascii="Times New Roman" w:hAnsi="Times New Roman" w:eastAsia="宋体"/>
          <w:b/>
          <w:sz w:val="21"/>
        </w:rPr>
        <w:t>基点</w:t>
      </w:r>
      <w:r>
        <w:rPr>
          <w:rFonts w:ascii="Times New Roman" w:hAnsi="Times New Roman" w:eastAsia="宋体"/>
          <w:b w:val="0"/>
          <w:sz w:val="21"/>
        </w:rPr>
        <w:t>，外推建立在材料场超差 3 倍的点上。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BEAE7"/>
          </w:tcPr>
          <w:p>
            <w:r/>
            <w:r>
              <w:rPr>
                <w:b/>
                <w:sz w:val="20"/>
              </w:rPr>
              <w:t xml:space="preserve">修改建议 23（新增，优先级等同第一梯队）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把相分数门槛</w:t>
            </w:r>
            <w:r>
              <w:rPr>
                <w:rFonts w:ascii="Times New Roman" w:hAnsi="Times New Roman" w:eastAsia="宋体"/>
                <w:b/>
                <w:sz w:val="20"/>
              </w:rPr>
              <w:t>对每一张参与结论的网格</w:t>
            </w:r>
            <w:r>
              <w:rPr>
                <w:rFonts w:ascii="Times New Roman" w:hAnsi="Times New Roman" w:eastAsia="宋体"/>
                <w:b w:val="0"/>
                <w:sz w:val="20"/>
              </w:rPr>
              <w:t>逐一检查并在 Table S2 中列出，不能只查 primary。粗网格未通过就不能作为 Richardson 基点，也不能作为 UQ 的唯一网格——UQ 至少要在 intermediate 上重做一个有代表性的子集（脚本 13）。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2　B 类：力学建模与结论逻辑</w:t>
      </w:r>
    </w:p>
    <w:p>
      <w:pPr>
        <w:pStyle w:val="Heading2"/>
      </w:pPr>
      <w:r>
        <w:t>2.1　"141 个点全部卸载"不是稳健性证据，是构造使然</w:t>
      </w:r>
    </w:p>
    <w:p>
      <w:r>
        <w:rPr>
          <w:rFonts w:ascii="Times New Roman" w:hAnsi="Times New Roman" w:eastAsia="宋体"/>
          <w:b w:val="0"/>
          <w:i w:val="0"/>
          <w:sz w:val="21"/>
        </w:rPr>
        <w:t>壳的张力来自初始预张力和探针两项。施加各向同性自然收缩 F_g 后：coupling = 0 时壳自然构型不变、被核往里拽，面积减小 → 张力降；coupling = 0.7 时壳自身也缩 → 张力更降。</w:t>
      </w:r>
      <w:r>
        <w:rPr>
          <w:rFonts w:ascii="Times New Roman" w:hAnsi="Times New Roman" w:eastAsia="宋体"/>
          <w:b/>
          <w:i w:val="0"/>
          <w:sz w:val="21"/>
        </w:rPr>
        <w:t>参数盒的任何一点，几何上都不存在张力升高的路径。</w:t>
      </w:r>
    </w:p>
    <w:p>
      <w:r>
        <w:rPr>
          <w:rFonts w:ascii="Times New Roman" w:hAnsi="Times New Roman" w:eastAsia="宋体"/>
          <w:b w:val="0"/>
          <w:i w:val="0"/>
          <w:sz w:val="21"/>
        </w:rPr>
        <w:t>第四轮已把这件事从推理升级为证明：平面应力条件下闭式解为</w:t>
      </w:r>
    </w:p>
    <w:p>
      <w:pPr>
        <w:jc w:val="center"/>
      </w:pPr>
      <w:r>
        <w:rPr>
          <w:rFonts w:ascii="Times New Roman" w:hAnsi="Times New Roman" w:eastAsia="宋体"/>
          <w:b/>
          <w:i w:val="0"/>
          <w:sz w:val="21"/>
        </w:rPr>
        <w:t>N_elastic = (μ·t₀/g²)·(1 − (λ_t/λ)²)</w:t>
      </w:r>
    </w:p>
    <w:p>
      <w:r>
        <w:rPr>
          <w:rFonts w:ascii="Times New Roman" w:hAnsi="Times New Roman" w:eastAsia="宋体"/>
          <w:b w:val="0"/>
          <w:i w:val="0"/>
          <w:sz w:val="21"/>
        </w:rPr>
        <w:t>数值验证：N 在自然态 λ = g 处严格为零（求得零点 0.963631 对 g = 0.963257），且在 λ∈[0.80, 1.10] 上严格单调递增。各向同性自然收缩必然降低 λ，因此必然降低 N。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7（结构性改写）　</w:t>
            </w:r>
            <w:r>
              <w:rPr>
                <w:rFonts w:ascii="Times New Roman" w:hAnsi="Times New Roman" w:eastAsia="宋体"/>
                <w:b w:val="0"/>
                <w:sz w:val="20"/>
              </w:rPr>
              <w:t>① 方向性用一行</w:t>
            </w:r>
            <w:r>
              <w:rPr>
                <w:rFonts w:ascii="Times New Roman" w:hAnsi="Times New Roman" w:eastAsia="宋体"/>
                <w:b/>
                <w:sz w:val="20"/>
              </w:rPr>
              <w:t>解析结论</w:t>
            </w:r>
            <w:r>
              <w:rPr>
                <w:rFonts w:ascii="Times New Roman" w:hAnsi="Times New Roman" w:eastAsia="宋体"/>
                <w:b w:val="0"/>
                <w:sz w:val="20"/>
              </w:rPr>
              <w:t>陈述，参数盒里不存在能翻号的点；② FEM 的贡献重新定位为</w:t>
            </w:r>
            <w:r>
              <w:rPr>
                <w:rFonts w:ascii="Times New Roman" w:hAnsi="Times New Roman" w:eastAsia="宋体"/>
                <w:b/>
                <w:sz w:val="20"/>
              </w:rPr>
              <w:t>幅度</w:t>
            </w:r>
            <w:r>
              <w:rPr>
                <w:rFonts w:ascii="Times New Roman" w:hAnsi="Times New Roman" w:eastAsia="宋体"/>
                <w:b w:val="0"/>
                <w:sz w:val="20"/>
              </w:rPr>
              <w:t>而非方向，Main Figure 3 改放幅度依赖与机制分解；③ 全文弱化 "epistemic robustness" 作为卖点，64/64、77/77 降为补充材料一行统计。</w:t>
            </w:r>
          </w:p>
        </w:tc>
      </w:tr>
    </w:tbl>
    <w:p>
      <w:pPr>
        <w:spacing w:after="40"/>
      </w:pPr>
    </w:p>
    <w:p>
      <w:pPr>
        <w:pStyle w:val="Heading2"/>
      </w:pPr>
      <w:r>
        <w:t>2.2　头条百分比的分母 76% 是假设常数（本条含撤回）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BEAE7"/>
          </w:tcPr>
          <w:p>
            <w:r/>
            <w:r>
              <w:rPr>
                <w:b/>
                <w:sz w:val="20"/>
              </w:rPr>
              <w:t xml:space="preserve">撤回　</w:t>
            </w:r>
            <w:r>
              <w:rPr>
                <w:rFonts w:ascii="Times New Roman" w:hAnsi="Times New Roman" w:eastAsia="宋体"/>
                <w:b w:val="0"/>
                <w:sz w:val="20"/>
              </w:rPr>
              <w:t>首版称"−42% 里约 76% 是预张力在松弛"。</w:t>
            </w:r>
            <w:r>
              <w:rPr>
                <w:rFonts w:ascii="Times New Roman" w:hAnsi="Times New Roman" w:eastAsia="宋体"/>
                <w:b/>
                <w:sz w:val="20"/>
              </w:rPr>
              <w:t>这在直接意义上是错的，撤回。</w:t>
            </w:r>
            <w:r>
              <w:rPr>
                <w:rFonts w:ascii="Times New Roman" w:hAnsi="Times New Roman" w:eastAsia="宋体"/>
                <w:b w:val="0"/>
                <w:sz w:val="20"/>
              </w:rPr>
              <w:t>解析上可证预张力对报告值的贡献是一个与变形几乎无关的常数，在两组之间</w:t>
            </w:r>
            <w:r>
              <w:rPr>
                <w:rFonts w:ascii="Times New Roman" w:hAnsi="Times New Roman" w:eastAsia="宋体"/>
                <w:b/>
                <w:sz w:val="20"/>
              </w:rPr>
              <w:t>相消</w:t>
            </w:r>
            <w:r>
              <w:rPr>
                <w:rFonts w:ascii="Times New Roman" w:hAnsi="Times New Roman" w:eastAsia="宋体"/>
                <w:b w:val="0"/>
                <w:sz w:val="20"/>
              </w:rPr>
              <w:t>，因此绝对差 −0.027972 mN/m 基本不含预张力的直接贡献。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proxy 取切向主 Cauchy 应力 × 当前厚度，而当前厚度按 Nanson 取 λ_n = J/J_s。对预应力项这两个因子恰好抵消：</w:t>
      </w:r>
    </w:p>
    <w:p>
      <w:pPr>
        <w:jc w:val="center"/>
      </w:pPr>
      <w:r>
        <w:rPr>
          <w:rFonts w:ascii="Times New Roman" w:hAnsi="Times New Roman" w:eastAsia="宋体"/>
          <w:b/>
          <w:i w:val="0"/>
          <w:sz w:val="21"/>
        </w:rPr>
        <w:t>N_pre = ½·tr_tang(F S₀ Fᵀ/J)·t₀·(J/J_s) = S₀·t₀·(λ₁/λ₂ + λ₂/λ₁)/2</w:t>
      </w:r>
    </w:p>
    <w:p>
      <w:r>
        <w:rPr>
          <w:rFonts w:ascii="Times New Roman" w:hAnsi="Times New Roman" w:eastAsia="宋体"/>
          <w:b w:val="0"/>
          <w:i w:val="0"/>
          <w:sz w:val="21"/>
        </w:rPr>
        <w:t>等双轴时</w:t>
      </w:r>
      <w:r>
        <w:rPr>
          <w:rFonts w:ascii="Times New Roman" w:hAnsi="Times New Roman" w:eastAsia="宋体"/>
          <w:b/>
          <w:i w:val="0"/>
          <w:sz w:val="21"/>
        </w:rPr>
        <w:t>恒等于 S₀·t₀ = 0.05 mN/m</w:t>
      </w:r>
      <w:r>
        <w:rPr>
          <w:rFonts w:ascii="Times New Roman" w:hAnsi="Times New Roman" w:eastAsia="宋体"/>
          <w:b w:val="0"/>
          <w:i w:val="0"/>
          <w:sz w:val="21"/>
        </w:rPr>
        <w:t>，且由均值不等式永远不小于它（多出部分纯为面内各向异性）。200 个随机变形数值验证，最小值恰好落在 0.050000。</w:t>
      </w:r>
    </w:p>
    <w:p>
      <w:r>
        <w:rPr>
          <w:rFonts w:ascii="Times New Roman" w:hAnsi="Times New Roman" w:eastAsia="宋体"/>
          <w:b w:val="0"/>
          <w:i w:val="0"/>
          <w:sz w:val="21"/>
        </w:rPr>
        <w:t>但换来一个更尖锐的问题——扣掉这个常数后：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量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报告值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减去 0.05 常数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Control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0.066064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+0.016064</w:t>
            </w:r>
          </w:p>
        </w:tc>
      </w:tr>
      <w:tr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Hyperosmotic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0.038092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−0.011908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变化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−42.34%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−174.13%</w:t>
            </w:r>
          </w:p>
        </w:tc>
      </w:tr>
    </w:tbl>
    <w:p>
      <w:pPr>
        <w:spacing w:after="40"/>
      </w:pPr>
    </w:p>
    <w:p>
      <w:pPr>
        <w:pStyle w:val="ListNumber"/>
        <w:spacing w:after="60"/>
      </w:pPr>
      <w:r>
        <w:rPr>
          <w:rFonts w:ascii="Times New Roman" w:hAnsi="Times New Roman" w:eastAsia="宋体"/>
          <w:b/>
          <w:sz w:val="21"/>
        </w:rPr>
        <w:t>头条百分比被一个假设常数稀释了。</w:t>
      </w:r>
      <w:r>
        <w:rPr>
          <w:rFonts w:ascii="Times New Roman" w:hAnsi="Times New Roman" w:eastAsia="宋体"/>
          <w:b w:val="0"/>
          <w:sz w:val="21"/>
        </w:rPr>
        <w:t>−42.34% 的分母有 76% 是 provenance 为 assumption 的加性常数。把预张力在其 UQ 区间（0.025–0.1）内挪动，报告的百分比会大幅改变而力学几乎不变。</w:t>
      </w:r>
      <w:r>
        <w:rPr>
          <w:rFonts w:ascii="Times New Roman" w:hAnsi="Times New Roman" w:eastAsia="宋体"/>
          <w:b/>
          <w:sz w:val="21"/>
        </w:rPr>
        <w:t>主指标必须改用绝对差。</w:t>
      </w:r>
    </w:p>
    <w:p>
      <w:pPr>
        <w:pStyle w:val="ListNumber"/>
        <w:spacing w:after="60"/>
      </w:pPr>
      <w:r>
        <w:rPr>
          <w:rFonts w:ascii="Times New Roman" w:hAnsi="Times New Roman" w:eastAsia="宋体"/>
          <w:b/>
          <w:sz w:val="21"/>
        </w:rPr>
        <w:t>高渗态下壳处于净弹性受压</w:t>
      </w:r>
      <w:r>
        <w:rPr>
          <w:rFonts w:ascii="Times New Roman" w:hAnsi="Times New Roman" w:eastAsia="宋体"/>
          <w:b w:val="0"/>
          <w:sz w:val="21"/>
        </w:rPr>
        <w:t>，与 Fig S4d 的压缩面积 62.6% 独立吻合（见 §1.7）。</w:t>
      </w:r>
    </w:p>
    <w:p>
      <w:pPr>
        <w:pStyle w:val="ListNumber"/>
        <w:spacing w:after="60"/>
      </w:pPr>
      <w:r>
        <w:rPr>
          <w:rFonts w:ascii="Times New Roman" w:hAnsi="Times New Roman" w:eastAsia="宋体"/>
          <w:b w:val="0"/>
          <w:sz w:val="21"/>
        </w:rPr>
        <w:t>那个穿零的 UQ 算例不是异常点，是同一现象在更低预张力下的表现。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8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机制分解仍必做（脚本 02，6 次求解），但目的改变：量化预张力</w:t>
            </w:r>
            <w:r>
              <w:rPr>
                <w:rFonts w:ascii="Times New Roman" w:hAnsi="Times New Roman" w:eastAsia="宋体"/>
                <w:b/>
                <w:sz w:val="20"/>
              </w:rPr>
              <w:t>经由平衡耦合</w:t>
            </w:r>
            <w:r>
              <w:rPr>
                <w:rFonts w:ascii="Times New Roman" w:hAnsi="Times New Roman" w:eastAsia="宋体"/>
                <w:b w:val="0"/>
                <w:sz w:val="20"/>
              </w:rPr>
              <w:t>的间接影响，并确认弹性部分确实变号。第五轮的 Sobol 分析已独立证实这一点（见 §3.7）。</w:t>
            </w:r>
          </w:p>
        </w:tc>
      </w:tr>
    </w:tbl>
    <w:p>
      <w:pPr>
        <w:spacing w:after="40"/>
      </w:pPr>
    </w:p>
    <w:p>
      <w:pPr>
        <w:pStyle w:val="Heading2"/>
      </w:pPr>
      <w:r>
        <w:t>2.3　缺均质核对照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论文的输入卖点是 Reynolds 的十级异质染色质图，但端点是外表面的面积加权全局平均，核内异质性在往外传递时极可能被平均掉。Main Fig 3c 已给出预警：chromatin scale 的 Spearman ρ 只有 </w:t>
      </w:r>
      <w:r>
        <w:rPr>
          <w:rFonts w:ascii="Times New Roman" w:hAnsi="Times New Roman" w:eastAsia="宋体"/>
          <w:b/>
          <w:i w:val="0"/>
          <w:sz w:val="21"/>
        </w:rPr>
        <w:t>−0.08</w:t>
      </w:r>
      <w:r>
        <w:rPr>
          <w:rFonts w:ascii="Times New Roman" w:hAnsi="Times New Roman" w:eastAsia="宋体"/>
          <w:b w:val="0"/>
          <w:i w:val="0"/>
          <w:sz w:val="21"/>
        </w:rPr>
        <w:t xml:space="preserve">；第五轮 Sobol 进一步给出总效应指数 </w:t>
      </w:r>
      <w:r>
        <w:rPr>
          <w:rFonts w:ascii="Times New Roman" w:hAnsi="Times New Roman" w:eastAsia="宋体"/>
          <w:b/>
          <w:i w:val="0"/>
          <w:sz w:val="21"/>
        </w:rPr>
        <w:t>0.001</w:t>
      </w:r>
      <w:r>
        <w:rPr>
          <w:rFonts w:ascii="Times New Roman" w:hAnsi="Times New Roman" w:eastAsia="宋体"/>
          <w:b w:val="0"/>
          <w:i w:val="0"/>
          <w:sz w:val="21"/>
        </w:rPr>
        <w:t>——模量整体翻四倍几乎不动全局端点。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9（第二优先级，且很便宜）　</w:t>
            </w:r>
            <w:r>
              <w:rPr>
                <w:rFonts w:ascii="Times New Roman" w:hAnsi="Times New Roman" w:eastAsia="宋体"/>
                <w:b/>
                <w:sz w:val="20"/>
              </w:rPr>
              <w:t>求解器里 core_heterogeneity_model="homogeneous" 分支现成</w:t>
            </w:r>
            <w:r>
              <w:rPr>
                <w:rFonts w:ascii="Times New Roman" w:hAnsi="Times New Roman" w:eastAsia="宋体"/>
                <w:b w:val="0"/>
                <w:sz w:val="20"/>
              </w:rPr>
              <w:t>，改一个参数即可（脚本 03）。等效模量须用上游同一个 loader 和同一套网格算 Voigt/Reuss 上下界（脚本 04），</w:t>
            </w:r>
            <w:r>
              <w:rPr>
                <w:rFonts w:ascii="Times New Roman" w:hAnsi="Times New Roman" w:eastAsia="宋体"/>
                <w:b/>
                <w:sz w:val="20"/>
              </w:rPr>
              <w:t>不要用 Table S1 的 800 Pa</w:t>
            </w:r>
            <w:r>
              <w:rPr>
                <w:rFonts w:ascii="Times New Roman" w:hAnsi="Times New Roman" w:eastAsia="宋体"/>
                <w:b w:val="0"/>
                <w:sz w:val="20"/>
              </w:rPr>
              <w:t>——那只是均质分支的回退值。端点几乎不变则诚实报告"全局端点对异质性不敏感"；显著改变则这是真正的发现，升为 Main Fig 2 核心。</w:t>
            </w:r>
          </w:p>
        </w:tc>
      </w:tr>
    </w:tbl>
    <w:p>
      <w:pPr>
        <w:spacing w:after="40"/>
      </w:pPr>
    </w:p>
    <w:p>
      <w:pPr>
        <w:pStyle w:val="Heading2"/>
      </w:pPr>
      <w:r>
        <w:t>2.4　探针载荷（本条已撤回，降级为表述问题）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BEAE7"/>
          </w:tcPr>
          <w:p>
            <w:r/>
            <w:r>
              <w:rPr>
                <w:b/>
                <w:sz w:val="20"/>
              </w:rPr>
              <w:t xml:space="preserve">撤回　</w:t>
            </w:r>
            <w:r>
              <w:rPr>
                <w:rFonts w:ascii="Times New Roman" w:hAnsi="Times New Roman" w:eastAsia="宋体"/>
                <w:b w:val="0"/>
                <w:sz w:val="20"/>
              </w:rPr>
              <w:t>首版据文档 §9 的 "t₀ = P̄·N" 判定"名实不符、实为压力"。</w:t>
            </w:r>
            <w:r>
              <w:rPr>
                <w:rFonts w:ascii="Times New Roman" w:hAnsi="Times New Roman" w:eastAsia="宋体"/>
                <w:b/>
                <w:sz w:val="20"/>
              </w:rPr>
              <w:t>源码审计证明这是我误读，撤回。</w:t>
            </w:r>
            <w:r>
              <w:rPr>
                <w:rFonts w:ascii="Times New Roman" w:hAnsi="Times New Roman" w:eastAsia="宋体"/>
                <w:b w:val="0"/>
                <w:sz w:val="20"/>
              </w:rPr>
              <w:t>代码构造的是均匀对称名义应力张量 σ = τ(eₓ⊗e_y + e_y⊗eₓ)，τ = 375 Pa，施加牵引 t₀ = σ·N 于参考外表面。σ 为常张量且对称，故 ∫σN dA = 0、合矩为零，"self-equilibrated shear probe" 的实现是正确的；文档里的 P̄ 是应力张量而非压力。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10（改为纯表述）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正文写出该应力张量的定义，并明确这是</w:t>
            </w:r>
            <w:r>
              <w:rPr>
                <w:rFonts w:ascii="Times New Roman" w:hAnsi="Times New Roman" w:eastAsia="宋体"/>
                <w:b/>
                <w:sz w:val="20"/>
              </w:rPr>
              <w:t>参考构型 dead load</w:t>
            </w:r>
            <w:r>
              <w:rPr>
                <w:rFonts w:ascii="Times New Roman" w:hAnsi="Times New Roman" w:eastAsia="宋体"/>
                <w:b w:val="0"/>
                <w:sz w:val="20"/>
              </w:rPr>
              <w:t>（两组参考构型相同，因此受严格相同的总外力——这正是 "same probe" 的实现，值得明说）。另建议主动点明量级对比：200 mOsm 的渗透压差在 310 K 下约 515 kPa，比 375 Pa 探针大约 1 400 倍。</w:t>
            </w:r>
          </w:p>
        </w:tc>
      </w:tr>
    </w:tbl>
    <w:p>
      <w:pPr>
        <w:spacing w:after="40"/>
      </w:pPr>
    </w:p>
    <w:p>
      <w:pPr>
        <w:pStyle w:val="Heading2"/>
      </w:pPr>
      <w:r>
        <w:t>2.5　预应力的参考构型不自平衡（第四轮定案）</w:t>
      </w:r>
    </w:p>
    <w:p>
      <w:r>
        <w:rPr>
          <w:rFonts w:ascii="Times New Roman" w:hAnsi="Times New Roman" w:eastAsia="宋体"/>
          <w:b w:val="0"/>
          <w:i w:val="0"/>
          <w:sz w:val="21"/>
        </w:rPr>
        <w:t>源码审计发现平衡与报告用的</w:t>
      </w:r>
      <w:r>
        <w:rPr>
          <w:rFonts w:ascii="Times New Roman" w:hAnsi="Times New Roman" w:eastAsia="宋体"/>
          <w:b/>
          <w:i w:val="0"/>
          <w:sz w:val="21"/>
        </w:rPr>
        <w:t>不是同一个本构声明</w:t>
      </w:r>
      <w:r>
        <w:rPr>
          <w:rFonts w:ascii="Times New Roman" w:hAnsi="Times New Roman" w:eastAsia="宋体"/>
          <w:b w:val="0"/>
          <w:i w:val="0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位置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用的式子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在 u = 0 处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平衡与切线（_region_forms）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PK1 += (F − I)·S₀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= 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报告的 proxy（_write_outer_surface_resultants）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σ += F·S₀·Fᵀ / J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= S₀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各自都站得住，但合在一起意味着：参考构型之所以平衡，是因为从残差里减掉了一个参考态常数项，即</w:t>
      </w:r>
      <w:r>
        <w:rPr>
          <w:rFonts w:ascii="Times New Roman" w:hAnsi="Times New Roman" w:eastAsia="宋体"/>
          <w:b/>
          <w:i w:val="0"/>
          <w:sz w:val="21"/>
        </w:rPr>
        <w:t>模型隐含假设存在一个把预应力参考态撑住的虚拟平衡载荷，并把它当 dead load 一路带下去</w:t>
      </w:r>
      <w:r>
        <w:rPr>
          <w:rFonts w:ascii="Times New Roman" w:hAnsi="Times New Roman" w:eastAsia="宋体"/>
          <w:b w:val="0"/>
          <w:i w:val="0"/>
          <w:sz w:val="21"/>
        </w:rPr>
        <w:t>。手稿从未提及。这必须写进方法学——一个受预张力的闭合壳不可能自己平衡，必须有核内压力配平。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残差化还有一个固有代价：在 F = g·I（壳自身生长态，本应无应力）处，(F − I)·S₀ 不为零，每个切向分量残留 </w:t>
      </w:r>
      <w:r>
        <w:rPr>
          <w:rFonts w:ascii="Times New Roman" w:hAnsi="Times New Roman" w:eastAsia="宋体"/>
          <w:b/>
          <w:i w:val="0"/>
          <w:sz w:val="21"/>
        </w:rPr>
        <w:t>−15.31 Pa</w:t>
      </w:r>
      <w:r>
        <w:rPr>
          <w:rFonts w:ascii="Times New Roman" w:hAnsi="Times New Roman" w:eastAsia="宋体"/>
          <w:b w:val="0"/>
          <w:i w:val="0"/>
          <w:sz w:val="21"/>
        </w:rPr>
        <w:t xml:space="preserve">（预张力的 3.67%），折合 0.001837 mN/m ≈ 报告差值 0.027972 的 </w:t>
      </w:r>
      <w:r>
        <w:rPr>
          <w:rFonts w:ascii="Times New Roman" w:hAnsi="Times New Roman" w:eastAsia="宋体"/>
          <w:b/>
          <w:i w:val="0"/>
          <w:sz w:val="21"/>
        </w:rPr>
        <w:t>6.6%</w:t>
      </w:r>
      <w:r>
        <w:rPr>
          <w:rFonts w:ascii="Times New Roman" w:hAnsi="Times New Roman" w:eastAsia="宋体"/>
          <w:b w:val="0"/>
          <w:i w:val="0"/>
          <w:sz w:val="21"/>
        </w:rPr>
        <w:t>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11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明确写清残差化的做法及其隐含的虚拟平衡载荷假设；给出初始态自检（在 u=0 和零载荷步后分别计算实现的壳张力）；并声明自然态伪应力的量级。检查结果放 Figure S1。</w:t>
            </w:r>
          </w:p>
        </w:tc>
      </w:tr>
    </w:tbl>
    <w:p>
      <w:pPr>
        <w:spacing w:after="40"/>
      </w:pPr>
    </w:p>
    <w:p>
      <w:pPr>
        <w:pStyle w:val="Heading2"/>
      </w:pPr>
      <w:r>
        <w:t>2.6　把 lamina 当 ν=0.35 的可压缩三维实体是错的物理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从 Table S2 可反推确认最小 J_e 出现在壳里：min J_e(shell) × J_g(shell) = 0.69278 × 0.725517^0.35 = 0.61918，与表中 minimum_total_jacobian </w:t>
      </w:r>
      <w:r>
        <w:rPr>
          <w:rFonts w:ascii="Times New Roman" w:hAnsi="Times New Roman" w:eastAsia="宋体"/>
          <w:b/>
          <w:i w:val="0"/>
          <w:sz w:val="21"/>
        </w:rPr>
        <w:t>精确吻合</w:t>
      </w:r>
      <w:r>
        <w:rPr>
          <w:rFonts w:ascii="Times New Roman" w:hAnsi="Times New Roman" w:eastAsia="宋体"/>
          <w:b w:val="0"/>
          <w:i w:val="0"/>
          <w:sz w:val="21"/>
        </w:rPr>
        <w:t>（这也确认 coupling 按 J_g,shell = J_nat^0.35 实现，内部一致）。但结论是</w:t>
      </w:r>
      <w:r>
        <w:rPr>
          <w:rFonts w:ascii="Times New Roman" w:hAnsi="Times New Roman" w:eastAsia="宋体"/>
          <w:b/>
          <w:i w:val="0"/>
          <w:sz w:val="21"/>
        </w:rPr>
        <w:t>壳被体积压缩了 31%</w:t>
      </w:r>
      <w:r>
        <w:rPr>
          <w:rFonts w:ascii="Times New Roman" w:hAnsi="Times New Roman" w:eastAsia="宋体"/>
          <w:b w:val="0"/>
          <w:i w:val="0"/>
          <w:sz w:val="21"/>
        </w:rPr>
        <w:t>。真实 lamina 在面内近乎面积不可压、通过减薄响应，不会损失 31% 体积；ν = 0.35 的可压缩 Neo-Hookean 实体会产生大量伪体积弹性应变并污染 proxy。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12　</w:t>
            </w:r>
            <w:r>
              <w:rPr>
                <w:rFonts w:ascii="Times New Roman" w:hAnsi="Times New Roman" w:eastAsia="宋体"/>
                <w:b w:val="0"/>
                <w:sz w:val="20"/>
              </w:rPr>
              <w:t>壳改用膜/壳公式（面内 2D 应变能 ＋ 由 J=1 决定的厚度减薄），或至少把壳的 ν 提到 0.49+ 并给敏感性。同时报告 J_e(shell) 的分布——0.693 一旦被审稿人反推出来很难解释。</w:t>
            </w:r>
          </w:p>
        </w:tc>
      </w:tr>
    </w:tbl>
    <w:p>
      <w:pPr>
        <w:spacing w:after="40"/>
      </w:pPr>
    </w:p>
    <w:p>
      <w:pPr>
        <w:pStyle w:val="Heading2"/>
      </w:pPr>
      <w:r>
        <w:t>2.7　材料参数表内部矛盾（第三轮已解密）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表里写的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隐含的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冲突与解释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Core Poisson ratio = 0.45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K/G = 30 → ν = 0.4835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同一个量两个值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Core Young modulus = 800 Pa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异质 G∈[170,4000]，ν=0.4835 → E∈[504,11 868] Pa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800 Pa 是</w:t>
            </w:r>
            <w:r>
              <w:rPr>
                <w:rFonts w:ascii="Times New Roman" w:hAnsi="Times New Roman" w:eastAsia="宋体"/>
                <w:b/>
                <w:sz w:val="18"/>
              </w:rPr>
              <w:t>均质分支的回退值</w:t>
            </w:r>
            <w:r>
              <w:rPr>
                <w:rFonts w:ascii="Times New Roman" w:hAnsi="Times New Roman" w:eastAsia="宋体"/>
                <w:b w:val="0"/>
                <w:sz w:val="18"/>
              </w:rPr>
              <w:t>，异质运行时不生效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13　</w:t>
            </w:r>
            <w:r>
              <w:rPr>
                <w:rFonts w:ascii="Times New Roman" w:hAnsi="Times New Roman" w:eastAsia="宋体"/>
                <w:b w:val="0"/>
                <w:sz w:val="20"/>
              </w:rPr>
              <w:t>Table S1 标注清楚哪些行"仅在均质对照中使用"、哪些是异质映射的实际输入；ν 只保留一个来源（建议由 K/G 派生，删掉 0.45）。</w:t>
            </w:r>
          </w:p>
        </w:tc>
      </w:tr>
    </w:tbl>
    <w:p>
      <w:pPr>
        <w:spacing w:after="40"/>
      </w:pPr>
    </w:p>
    <w:p>
      <w:pPr>
        <w:pStyle w:val="Heading2"/>
      </w:pPr>
      <w:r>
        <w:t>2.8　物理上被略过、必须写进 limitation 的四件事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染色质压实后不变刚</w:t>
      </w:r>
      <w:r>
        <w:rPr>
          <w:rFonts w:ascii="Times New Roman" w:hAnsi="Times New Roman" w:eastAsia="宋体"/>
          <w:b w:val="0"/>
          <w:sz w:val="21"/>
        </w:rPr>
        <w:t>：F_g 把核压了 27%，但 G 场保持不变。Finan 那篇的核心正是</w:t>
      </w:r>
      <w:r>
        <w:rPr>
          <w:rFonts w:ascii="Times New Roman" w:hAnsi="Times New Roman" w:eastAsia="宋体"/>
          <w:b/>
          <w:sz w:val="21"/>
        </w:rPr>
        <w:t>非线性</w:t>
      </w:r>
      <w:r>
        <w:rPr>
          <w:rFonts w:ascii="Times New Roman" w:hAnsi="Times New Roman" w:eastAsia="宋体"/>
          <w:b w:val="0"/>
          <w:sz w:val="21"/>
        </w:rPr>
        <w:t>渗透行为和 321 mOsm 的变紧阈值，压实必然增刚。建议至少跑一个 G ∝ ρⁿ 或 G(J_e) 的敏感性算例。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用线性 Ponder 关系外推到 580 mOsm</w:t>
      </w:r>
      <w:r>
        <w:rPr>
          <w:rFonts w:ascii="Times New Roman" w:hAnsi="Times New Roman" w:eastAsia="宋体"/>
          <w:b w:val="0"/>
          <w:sz w:val="21"/>
        </w:rPr>
        <w:t>：论文标题就叫 Nonlinear Osmotic Properties，却用单一 φ_s 的线性关系外推。须论证适用范围，或改用非线性形式，或把 φ_s 的不确定度真正传播进 UQ（而不是手挑 0.65–0.85）。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无孔弹性、无时间</w:t>
      </w:r>
      <w:r>
        <w:rPr>
          <w:rFonts w:ascii="Times New Roman" w:hAnsi="Times New Roman" w:eastAsia="宋体"/>
          <w:b w:val="0"/>
          <w:sz w:val="21"/>
        </w:rPr>
        <w:t>：渗透响应是水的输运问题（秒–分钟尺度），核是孔弹性/黏弹性的。这条直接关系到实验——Flipper 在加压后第几分钟测？没到平衡则模型假设与实验条件不匹配。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核是悬空的</w:t>
      </w:r>
      <w:r>
        <w:rPr>
          <w:rFonts w:ascii="Times New Roman" w:hAnsi="Times New Roman" w:eastAsia="宋体"/>
          <w:b w:val="0"/>
          <w:sz w:val="21"/>
        </w:rPr>
        <w:t>：无细胞质、无细胞骨架、无 LINC 耦合。真实高渗休克下整个细胞在缩、骨架在给核加载，这可能主导实际方向。</w:t>
      </w:r>
    </w:p>
    <w:p>
      <w:pPr>
        <w:pStyle w:val="Heading2"/>
      </w:pPr>
      <w:r>
        <w:t>2.9　各向同性 F_g 与实测形态不符</w:t>
      </w:r>
    </w:p>
    <w:p>
      <w:r>
        <w:rPr>
          <w:rFonts w:ascii="Times New Roman" w:hAnsi="Times New Roman" w:eastAsia="宋体"/>
          <w:b w:val="0"/>
          <w:i w:val="0"/>
          <w:sz w:val="21"/>
        </w:rPr>
        <w:t>强加的是各向同性自然收缩，但贴壁细胞核在高渗下主要是</w:t>
      </w:r>
      <w:r>
        <w:rPr>
          <w:rFonts w:ascii="Times New Roman" w:hAnsi="Times New Roman" w:eastAsia="宋体"/>
          <w:b/>
          <w:i w:val="0"/>
          <w:sz w:val="21"/>
        </w:rPr>
        <w:t>变扁</w:t>
      </w:r>
      <w:r>
        <w:rPr>
          <w:rFonts w:ascii="Times New Roman" w:hAnsi="Times New Roman" w:eastAsia="宋体"/>
          <w:b w:val="0"/>
          <w:i w:val="0"/>
          <w:sz w:val="21"/>
        </w:rPr>
        <w:t>。各向异性 F_g 会显著改变壳 resultant 的分布。而预测的三轴</w:t>
      </w:r>
      <w:r>
        <w:rPr>
          <w:rFonts w:ascii="Times New Roman" w:hAnsi="Times New Roman" w:eastAsia="宋体"/>
          <w:b/>
          <w:i w:val="0"/>
          <w:sz w:val="21"/>
        </w:rPr>
        <w:t>轴比变化</w:t>
      </w:r>
      <w:r>
        <w:rPr>
          <w:rFonts w:ascii="Times New Roman" w:hAnsi="Times New Roman" w:eastAsia="宋体"/>
          <w:b w:val="0"/>
          <w:i w:val="0"/>
          <w:sz w:val="21"/>
        </w:rPr>
        <w:t>是共聚焦可直接测的</w:t>
      </w:r>
      <w:r>
        <w:rPr>
          <w:rFonts w:ascii="Times New Roman" w:hAnsi="Times New Roman" w:eastAsia="宋体"/>
          <w:b/>
          <w:i w:val="0"/>
          <w:sz w:val="21"/>
        </w:rPr>
        <w:t>非平凡</w:t>
      </w:r>
      <w:r>
        <w:rPr>
          <w:rFonts w:ascii="Times New Roman" w:hAnsi="Times New Roman" w:eastAsia="宋体"/>
          <w:b w:val="0"/>
          <w:i w:val="0"/>
          <w:sz w:val="21"/>
        </w:rPr>
        <w:t>输出——体积比是输入，轴比不是——成本远低于 FLIM，现在却只在 §11 一句带过，既不在 claims 矩阵也不在任何图里。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14　</w:t>
            </w:r>
            <w:r>
              <w:rPr>
                <w:rFonts w:ascii="Times New Roman" w:hAnsi="Times New Roman" w:eastAsia="宋体"/>
                <w:b w:val="0"/>
                <w:sz w:val="20"/>
              </w:rPr>
              <w:t>补各向异性 F_g 敏感性算例（</w:t>
            </w:r>
            <w:r>
              <w:rPr>
                <w:rFonts w:ascii="Times New Roman" w:hAnsi="Times New Roman" w:eastAsia="宋体"/>
                <w:b/>
                <w:sz w:val="20"/>
              </w:rPr>
              <w:t>上游 `axis_scale_factors` 钩子已存在</w:t>
            </w:r>
            <w:r>
              <w:rPr>
                <w:rFonts w:ascii="Times New Roman" w:hAnsi="Times New Roman" w:eastAsia="宋体"/>
                <w:b w:val="0"/>
                <w:sz w:val="20"/>
              </w:rPr>
              <w:t>，无需改代码，见脚本 16），并把预测的三个轴比变化写进 Table S3 作为一条 supported claim ＋ 实验读出。</w:t>
            </w:r>
          </w:p>
        </w:tc>
      </w:tr>
    </w:tbl>
    <w:p>
      <w:pPr>
        <w:spacing w:after="40"/>
      </w:pPr>
    </w:p>
    <w:p>
      <w:pPr>
        <w:pStyle w:val="Heading2"/>
      </w:pPr>
      <w:r>
        <w:t>2.10　端点量的选择有缺陷</w:t>
      </w:r>
    </w:p>
    <w:p>
      <w:r>
        <w:rPr>
          <w:rFonts w:ascii="Times New Roman" w:hAnsi="Times New Roman" w:eastAsia="宋体"/>
          <w:b w:val="0"/>
          <w:i w:val="0"/>
          <w:sz w:val="21"/>
        </w:rPr>
        <w:t>面积加权的</w:t>
      </w:r>
      <w:r>
        <w:rPr>
          <w:rFonts w:ascii="Times New Roman" w:hAnsi="Times New Roman" w:eastAsia="宋体"/>
          <w:b/>
          <w:i w:val="0"/>
          <w:sz w:val="21"/>
        </w:rPr>
        <w:t>有符号</w:t>
      </w:r>
      <w:r>
        <w:rPr>
          <w:rFonts w:ascii="Times New Roman" w:hAnsi="Times New Roman" w:eastAsia="宋体"/>
          <w:b w:val="0"/>
          <w:i w:val="0"/>
          <w:sz w:val="21"/>
        </w:rPr>
        <w:t xml:space="preserve"> resultant 平均，在有大面积受压区时会正负抵消——而 §1.7 已证高渗态压缩面积达 62.6%。一个壳可以有巨大的等量拉压而平均为零，这也是作者不得不引入"绝对差"作为对抗性目标的原因。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15　</w:t>
            </w:r>
            <w:r>
              <w:rPr>
                <w:rFonts w:ascii="Times New Roman" w:hAnsi="Times New Roman" w:eastAsia="宋体"/>
                <w:b w:val="0"/>
                <w:sz w:val="20"/>
              </w:rPr>
              <w:t>主端点换成不会抵消的量：面积加权的 max principal resultant、平均 |N|、或壳的总弹性能。有符号平均保留为次要指标。这一改，穿零算例和 −164.35% 这种无意义的百分数一起消失。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3　C 类：UQ 设计与可证伪性</w:t>
      </w:r>
    </w:p>
    <w:p>
      <w:pPr>
        <w:pStyle w:val="Heading2"/>
      </w:pPr>
      <w:r>
        <w:t>3.1　这个预测在方向上无法被证伪</w:t>
      </w:r>
    </w:p>
    <w:p>
      <w:r>
        <w:rPr>
          <w:rFonts w:ascii="Times New Roman" w:hAnsi="Times New Roman" w:eastAsia="宋体"/>
          <w:b w:val="0"/>
          <w:i w:val="0"/>
          <w:sz w:val="21"/>
        </w:rPr>
        <w:t>§2.1 已闭式证明参数盒里不存在能翻号的点。那么 Flipper 的方向性检验就没有区分力：它无法把这个模型和一个平凡假设（"东西缩了就松了"）区分开。</w:t>
      </w:r>
      <w:r>
        <w:rPr>
          <w:rFonts w:ascii="Times New Roman" w:hAnsi="Times New Roman" w:eastAsia="宋体"/>
          <w:b/>
          <w:i w:val="0"/>
          <w:sz w:val="21"/>
        </w:rPr>
        <w:t>一个不可能错的预测不是检验。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16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构造一个真正会给出相反方向的竞争假设并证明 FEM 在某参数集下确实能产生它。候选：① 染色质压实增刚快于体积下降；② 核膜面积守恒而体积下降 → 过剩膜面积 → 皱曲而非张力单调下降；③ 各向异性收缩导致局部张力升高。这样 Flipper 实验就变成在两个互斥预测之间做判决。</w:t>
            </w:r>
          </w:p>
        </w:tc>
      </w:tr>
    </w:tbl>
    <w:p>
      <w:pPr>
        <w:spacing w:after="40"/>
      </w:pPr>
    </w:p>
    <w:p>
      <w:pPr>
        <w:pStyle w:val="Heading2"/>
      </w:pPr>
      <w:r>
        <w:t>3.2　UQ 全部跑在粗网格上，幅度带已知偏差</w:t>
      </w:r>
    </w:p>
    <w:p>
      <w:r>
        <w:rPr>
          <w:rFonts w:ascii="Times New Roman" w:hAnsi="Times New Roman" w:eastAsia="宋体"/>
          <w:b w:val="0"/>
          <w:i w:val="0"/>
          <w:sz w:val="21"/>
        </w:rPr>
        <w:t>141 对（282 次求解）全在 coarse_h1p25，而该网格把名义点的卸载低估 6.7 pp（−37.9% 对收敛的 −44.5%），且其材料场未通过验收（§1.9）。好消息是偏差方向</w:t>
      </w:r>
      <w:r>
        <w:rPr>
          <w:rFonts w:ascii="Times New Roman" w:hAnsi="Times New Roman" w:eastAsia="宋体"/>
          <w:b/>
          <w:i w:val="0"/>
          <w:sz w:val="21"/>
        </w:rPr>
        <w:t>保守</w:t>
      </w:r>
      <w:r>
        <w:rPr>
          <w:rFonts w:ascii="Times New Roman" w:hAnsi="Times New Roman" w:eastAsia="宋体"/>
          <w:b w:val="0"/>
          <w:i w:val="0"/>
          <w:sz w:val="21"/>
        </w:rPr>
        <w:t>：粗网格系统性低估卸载幅度（名义点 −37.9 → −40.9 → −42.3；最不利顶点 corner_101011 从 −4.74% 到 −5.69%，幅度也变大）。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但支撑"粗网格筛查保守"这个论断，4 个复核点不够。而且第五轮查明：64 个 LHS 里恰好 </w:t>
      </w:r>
      <w:r>
        <w:rPr>
          <w:rFonts w:ascii="Times New Roman" w:hAnsi="Times New Roman" w:eastAsia="宋体"/>
          <w:b/>
          <w:i w:val="0"/>
          <w:sz w:val="21"/>
        </w:rPr>
        <w:t>6 个</w:t>
      </w:r>
      <w:r>
        <w:rPr>
          <w:rFonts w:ascii="Times New Roman" w:hAnsi="Times New Roman" w:eastAsia="宋体"/>
          <w:b w:val="0"/>
          <w:i w:val="0"/>
          <w:sz w:val="21"/>
        </w:rPr>
        <w:t>落在 ±10% 过渡带（−9.25 / −9.24 / −9.10 / −8.06 / −7.48 / −6.95%），</w:t>
      </w:r>
      <w:r>
        <w:rPr>
          <w:rFonts w:ascii="Times New Roman" w:hAnsi="Times New Roman" w:eastAsia="宋体"/>
          <w:b/>
          <w:i w:val="0"/>
          <w:sz w:val="21"/>
        </w:rPr>
        <w:t>只有 1 个被复核过</w:t>
      </w:r>
      <w:r>
        <w:rPr>
          <w:rFonts w:ascii="Times New Roman" w:hAnsi="Times New Roman" w:eastAsia="宋体"/>
          <w:b w:val="0"/>
          <w:i w:val="0"/>
          <w:sz w:val="21"/>
        </w:rPr>
        <w:t>；且已发表的 4 个复核</w:t>
      </w:r>
      <w:r>
        <w:rPr>
          <w:rFonts w:ascii="Times New Roman" w:hAnsi="Times New Roman" w:eastAsia="宋体"/>
          <w:b/>
          <w:i w:val="0"/>
          <w:sz w:val="21"/>
        </w:rPr>
        <w:t>全部是 intermediate P1</w:t>
      </w:r>
      <w:r>
        <w:rPr>
          <w:rFonts w:ascii="Times New Roman" w:hAnsi="Times New Roman" w:eastAsia="宋体"/>
          <w:b w:val="0"/>
          <w:i w:val="0"/>
          <w:sz w:val="21"/>
        </w:rPr>
        <w:t>——只加密了 h，</w:t>
      </w:r>
      <w:r>
        <w:rPr>
          <w:rFonts w:ascii="Times New Roman" w:hAnsi="Times New Roman" w:eastAsia="宋体"/>
          <w:b/>
          <w:i w:val="0"/>
          <w:sz w:val="21"/>
        </w:rPr>
        <w:t>没有加密阶次</w:t>
      </w:r>
      <w:r>
        <w:rPr>
          <w:rFonts w:ascii="Times New Roman" w:hAnsi="Times New Roman" w:eastAsia="宋体"/>
          <w:b w:val="0"/>
          <w:i w:val="0"/>
          <w:sz w:val="21"/>
        </w:rPr>
        <w:t>，而 §1.3/1.6 已证同网格 P1/P2 差才是主误差源。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17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把"我们复核了 4 个点"升级成论证：明确写出粗网格系统性低估卸载幅度、因此筛查对方向性结论保守；并</w:t>
            </w:r>
            <w:r>
              <w:rPr>
                <w:rFonts w:ascii="Times New Roman" w:hAnsi="Times New Roman" w:eastAsia="宋体"/>
                <w:b/>
                <w:sz w:val="20"/>
              </w:rPr>
              <w:t>把 ±10% 带里的 6 个算例全部在 intermediate P2 上重跑</w:t>
            </w:r>
            <w:r>
              <w:rPr>
                <w:rFonts w:ascii="Times New Roman" w:hAnsi="Times New Roman" w:eastAsia="宋体"/>
                <w:b w:val="0"/>
                <w:sz w:val="20"/>
              </w:rPr>
              <w:t>，再加分层抽样 6–10 点（脚本 13）。Table S4 加一列 coarse → intermediate 的幅度漂移。</w:t>
            </w:r>
          </w:p>
        </w:tc>
      </w:tr>
    </w:tbl>
    <w:p>
      <w:pPr>
        <w:spacing w:after="40"/>
      </w:pPr>
    </w:p>
    <w:p>
      <w:pPr>
        <w:pStyle w:val="Heading2"/>
      </w:pPr>
      <w:r>
        <w:t>3.3　参数盒漏掉了影响最直接的输入</w:t>
      </w:r>
    </w:p>
    <w:p>
      <w:r>
        <w:rPr>
          <w:rFonts w:ascii="Times New Roman" w:hAnsi="Times New Roman" w:eastAsia="宋体"/>
          <w:b w:val="0"/>
          <w:i w:val="0"/>
          <w:sz w:val="21"/>
        </w:rPr>
        <w:t>resultant N = σ·t，</w:t>
      </w:r>
      <w:r>
        <w:rPr>
          <w:rFonts w:ascii="Times New Roman" w:hAnsi="Times New Roman" w:eastAsia="宋体"/>
          <w:b/>
          <w:i w:val="0"/>
          <w:sz w:val="21"/>
        </w:rPr>
        <w:t>壳厚 t 与端点成正比</w:t>
      </w:r>
      <w:r>
        <w:rPr>
          <w:rFonts w:ascii="Times New Roman" w:hAnsi="Times New Roman" w:eastAsia="宋体"/>
          <w:b w:val="0"/>
          <w:i w:val="0"/>
          <w:sz w:val="21"/>
        </w:rPr>
        <w:t xml:space="preserve">，但 0.12 µm 被固定死、零不确定度，provenance 还标着 assumption。它不会在相对变化里抵消，因为两组的当前厚度不同。脚本 15 给出一个可证伪的一阶预测：壳厚在 0.06–0.25 µm 内变动会把头条百分比从约 </w:t>
      </w:r>
      <w:r>
        <w:rPr>
          <w:rFonts w:ascii="Times New Roman" w:hAnsi="Times New Roman" w:eastAsia="宋体"/>
          <w:b/>
          <w:i w:val="0"/>
          <w:sz w:val="21"/>
        </w:rPr>
        <w:t>−21% 拉到 −67%</w:t>
      </w:r>
      <w:r>
        <w:rPr>
          <w:rFonts w:ascii="Times New Roman" w:hAnsi="Times New Roman" w:eastAsia="宋体"/>
          <w:b w:val="0"/>
          <w:i w:val="0"/>
          <w:sz w:val="21"/>
        </w:rPr>
        <w:t>（对比 shell_young_pa 的 −17.0% ~ −74.6%）——一个从未被扫过的输入具有顶级杠杆。</w:t>
      </w:r>
    </w:p>
    <w:p>
      <w:r>
        <w:rPr>
          <w:rFonts w:ascii="Times New Roman" w:hAnsi="Times New Roman" w:eastAsia="宋体"/>
          <w:b w:val="0"/>
          <w:i w:val="0"/>
          <w:sz w:val="21"/>
        </w:rPr>
        <w:t>同样缺席的还有几何（半轴、长宽比）、K/G 比、灰度→模量映射的形状。至于核-壳界面耦合，第五轮源码审计确认</w:t>
      </w:r>
      <w:r>
        <w:rPr>
          <w:rFonts w:ascii="Times New Roman" w:hAnsi="Times New Roman" w:eastAsia="宋体"/>
          <w:b/>
          <w:i w:val="0"/>
          <w:sz w:val="21"/>
        </w:rPr>
        <w:t>代码里根本没有这个旋钮</w:t>
      </w:r>
      <w:r>
        <w:rPr>
          <w:rFonts w:ascii="Times New Roman" w:hAnsi="Times New Roman" w:eastAsia="宋体"/>
          <w:b w:val="0"/>
          <w:i w:val="0"/>
          <w:sz w:val="21"/>
        </w:rPr>
        <w:t>（核与壳是同一 basis 的单元子集，界面节点就是同一批未知量，没有界面积分项），要引入需先改代码改网格，代价远高于壳厚。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18　</w:t>
            </w:r>
            <w:r>
              <w:rPr>
                <w:rFonts w:ascii="Times New Roman" w:hAnsi="Times New Roman" w:eastAsia="宋体"/>
                <w:b/>
                <w:sz w:val="20"/>
              </w:rPr>
              <w:t>先做壳厚</w:t>
            </w:r>
            <w:r>
              <w:rPr>
                <w:rFonts w:ascii="Times New Roman" w:hAnsi="Times New Roman" w:eastAsia="宋体"/>
                <w:b w:val="0"/>
                <w:sz w:val="20"/>
              </w:rPr>
              <w:t>（纯 config 字段，脚本 15 直接支持）。界面耦合作为已知局限写入 limitation，或按脚本 15 给出的最小改动清单实施——注意其中第一步会改网格，从而使已发表的全部平衡解失效。</w:t>
            </w:r>
          </w:p>
        </w:tc>
      </w:tr>
    </w:tbl>
    <w:p>
      <w:pPr>
        <w:spacing w:after="40"/>
      </w:pPr>
    </w:p>
    <w:p>
      <w:pPr>
        <w:pStyle w:val="Heading2"/>
      </w:pPr>
      <w:r>
        <w:t>3.4　灰度标定只约束了 3 个分位点</w:t>
      </w:r>
    </w:p>
    <w:p>
      <w:r>
        <w:rPr>
          <w:rFonts w:ascii="Times New Roman" w:hAnsi="Times New Roman" w:eastAsia="宋体"/>
          <w:b w:val="0"/>
          <w:i w:val="0"/>
          <w:sz w:val="21"/>
        </w:rPr>
        <w:t>用低/中/高相比例 57%/31%/12% 做单调标定这个想法很好，应在正文更突出。但它只钉住 3 个分位点，箱内映射形状（S 形 vs 分段线性 vs 阶梯）完全自由，而模量跨度是 23.5 倍。此外，出版图的灰度不是定量 DNA 密度（显示 gamma、亮区截断、有损压缩）；8 张 z 面板线性插值到 50 层是很强的 z 分辨率外推；遮盖 panel A 标记后那块区域填了什么值也没写。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19　</w:t>
            </w:r>
            <w:r>
              <w:rPr>
                <w:rFonts w:ascii="Times New Roman" w:hAnsi="Times New Roman" w:eastAsia="宋体"/>
                <w:b w:val="0"/>
                <w:sz w:val="20"/>
              </w:rPr>
              <w:t>跑 3–4 个满足同样 3 个分位约束的不同单调映射，报告端点散布——这个散布就是数字化不确定度的诚实估计。遮盖区处理方式（inpaint / 排除出积分域）写进 provenance。</w:t>
            </w:r>
          </w:p>
        </w:tc>
      </w:tr>
    </w:tbl>
    <w:p>
      <w:pPr>
        <w:spacing w:after="40"/>
      </w:pPr>
    </w:p>
    <w:p>
      <w:pPr>
        <w:pStyle w:val="Heading2"/>
      </w:pPr>
      <w:r>
        <w:t>3.5　顶点覆盖确实不界定连续内部（第五轮已实测）</w:t>
      </w:r>
    </w:p>
    <w:p>
      <w:r>
        <w:rPr>
          <w:rFonts w:ascii="Times New Roman" w:hAnsi="Times New Roman" w:eastAsia="宋体"/>
          <w:b w:val="0"/>
          <w:i w:val="0"/>
          <w:sz w:val="21"/>
        </w:rPr>
        <w:t>用 141 个已解算点拟合代理模型（留一交叉验证 R² = 0.9585）后做单调性检验：</w:t>
      </w:r>
      <w:r>
        <w:rPr>
          <w:rFonts w:ascii="Times New Roman" w:hAnsi="Times New Roman" w:eastAsia="宋体"/>
          <w:b/>
          <w:i w:val="0"/>
          <w:sz w:val="21"/>
        </w:rPr>
        <w:t>shell_young_pa 上有 0.4% 的随机直线出现反转</w:t>
      </w:r>
      <w:r>
        <w:rPr>
          <w:rFonts w:ascii="Times New Roman" w:hAnsi="Times New Roman" w:eastAsia="宋体"/>
          <w:b w:val="0"/>
          <w:i w:val="0"/>
          <w:sz w:val="21"/>
        </w:rPr>
        <w:t>，最大反转 1.07× 交叉验证 RMSE。虽弱，但足以说明极值可以落在盒内部而非顶点——手稿那条自我限制是必要的，不是过度谨慎。</w:t>
      </w:r>
    </w:p>
    <w:p>
      <w:r>
        <w:rPr>
          <w:rFonts w:ascii="Times New Roman" w:hAnsi="Times New Roman" w:eastAsia="宋体"/>
          <w:b w:val="0"/>
          <w:i w:val="0"/>
          <w:sz w:val="21"/>
        </w:rPr>
        <w:t xml:space="preserve">连续域搜索给出的最不利点预测值 </w:t>
      </w:r>
      <w:r>
        <w:rPr>
          <w:rFonts w:ascii="Times New Roman" w:hAnsi="Times New Roman" w:eastAsia="宋体"/>
          <w:b/>
          <w:i w:val="0"/>
          <w:sz w:val="21"/>
        </w:rPr>
        <w:t>−0.001884 mN/m</w:t>
      </w:r>
      <w:r>
        <w:rPr>
          <w:rFonts w:ascii="Times New Roman" w:hAnsi="Times New Roman" w:eastAsia="宋体"/>
          <w:b w:val="0"/>
          <w:i w:val="0"/>
          <w:sz w:val="21"/>
        </w:rPr>
        <w:t>，优于最佳已解顶点 corner_101011 的 −0.002078，且加 1σ 后上界触及零。也就是说"全域卸载"这个 claim，按代理自身的不确定度衡量并不安全。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20　</w:t>
            </w:r>
            <w:r>
              <w:rPr>
                <w:rFonts w:ascii="Times New Roman" w:hAnsi="Times New Roman" w:eastAsia="宋体"/>
                <w:b/>
                <w:sz w:val="20"/>
              </w:rPr>
              <w:t>必须把这个点真实求解出来</w:t>
            </w:r>
            <w:r>
              <w:rPr>
                <w:rFonts w:ascii="Times New Roman" w:hAnsi="Times New Roman" w:eastAsia="宋体"/>
                <w:b w:val="0"/>
                <w:sz w:val="20"/>
              </w:rPr>
              <w:t>——代理预测不是证据，脚本 14 已生成对应命令。解出来之后，叙述从"我们采了 141 个点"变成"</w:t>
            </w:r>
            <w:r>
              <w:rPr>
                <w:rFonts w:ascii="Times New Roman" w:hAnsi="Times New Roman" w:eastAsia="宋体"/>
                <w:b/>
                <w:sz w:val="20"/>
              </w:rPr>
              <w:t>我们在连续参数域内搜索了翻号点并验证了最不利者</w:t>
            </w:r>
            <w:r>
              <w:rPr>
                <w:rFonts w:ascii="Times New Roman" w:hAnsi="Times New Roman" w:eastAsia="宋体"/>
                <w:b w:val="0"/>
                <w:sz w:val="20"/>
              </w:rPr>
              <w:t>"，这是把限制变成结果。若解得的值与预测差超过 CV RMSE（0.004312 mN/m），说明代理在外推，须加点重搜。</w:t>
            </w:r>
          </w:p>
        </w:tc>
      </w:tr>
    </w:tbl>
    <w:p>
      <w:pPr>
        <w:spacing w:after="40"/>
      </w:pPr>
    </w:p>
    <w:p>
      <w:pPr>
        <w:pStyle w:val="Heading2"/>
      </w:pPr>
      <w:r>
        <w:t>3.6　统计表述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对确定性设计报 5/50/95 百分位会被读成概率分布，即使声明了也一样。改报 min/median/max 或全分布图。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−164.35% 这种百分比没有意义</w:t>
      </w:r>
      <w:r>
        <w:rPr>
          <w:rFonts w:ascii="Times New Roman" w:hAnsi="Times New Roman" w:eastAsia="宋体"/>
          <w:b w:val="0"/>
          <w:sz w:val="21"/>
        </w:rPr>
        <w:t>（分子穿零）。全文把 traditional percentage change 降为次要，主指标统一改绝对差——作者在对抗性设计里已经用了绝对差，这个逻辑应贯穿全文。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那 6 个落在 ±10% 带里的算例是信息量最大的，应列出参数组合（那才是结论的边界），而不是只给计数。</w:t>
      </w:r>
    </w:p>
    <w:p>
      <w:pPr>
        <w:pStyle w:val="Heading2"/>
      </w:pPr>
      <w:r>
        <w:t>3.7　Sobol 分析独立证实了预张力的"假灵敏度"（第五轮）</w:t>
      </w:r>
    </w:p>
    <w:p>
      <w:r>
        <w:rPr>
          <w:rFonts w:ascii="Times New Roman" w:hAnsi="Times New Roman" w:eastAsia="宋体"/>
          <w:b w:val="0"/>
          <w:i w:val="0"/>
          <w:sz w:val="21"/>
        </w:rPr>
        <w:t>对</w:t>
      </w:r>
      <w:r>
        <w:rPr>
          <w:rFonts w:ascii="Times New Roman" w:hAnsi="Times New Roman" w:eastAsia="宋体"/>
          <w:b/>
          <w:i w:val="0"/>
          <w:sz w:val="21"/>
        </w:rPr>
        <w:t>绝对差</w:t>
      </w:r>
      <w:r>
        <w:rPr>
          <w:rFonts w:ascii="Times New Roman" w:hAnsi="Times New Roman" w:eastAsia="宋体"/>
          <w:b w:val="0"/>
          <w:i w:val="0"/>
          <w:sz w:val="21"/>
        </w:rPr>
        <w:t>做方差分解，与已发表的 Spearman 秩相关并列：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输入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S_i（一阶）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S_Ti（总效应）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已发表 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shell_young_pa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0.345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0.393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−0.644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shell_coupling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0.285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0.336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+0.225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natural_volume_ratio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0.210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0.277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+0.559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chromatin_modulus_scale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0.001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0.001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−0.079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probe_shear_stress_pa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0.000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0.000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+0.057</w:t>
            </w:r>
          </w:p>
        </w:tc>
      </w:tr>
      <w:tr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pretension_mn_per_m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0.0000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0.0000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+0.293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预张力按已发表 ρ 排第 3，按总效应 Sobol 排</w:t>
      </w:r>
      <w:r>
        <w:rPr>
          <w:rFonts w:ascii="Times New Roman" w:hAnsi="Times New Roman" w:eastAsia="宋体"/>
          <w:b/>
          <w:i w:val="0"/>
          <w:sz w:val="21"/>
        </w:rPr>
        <w:t>第 6 且指数为零</w:t>
      </w:r>
      <w:r>
        <w:rPr>
          <w:rFonts w:ascii="Times New Roman" w:hAnsi="Times New Roman" w:eastAsia="宋体"/>
          <w:b w:val="0"/>
          <w:i w:val="0"/>
          <w:sz w:val="21"/>
        </w:rPr>
        <w:t>。这与 §2.2 的解析结论完全吻合、且方法完全独立：预张力是加性常数，只抬高百分比的分母，对绝对差几乎无作用。</w:t>
      </w:r>
      <w:r>
        <w:rPr>
          <w:rFonts w:ascii="Times New Roman" w:hAnsi="Times New Roman" w:eastAsia="宋体"/>
          <w:b/>
          <w:i w:val="0"/>
          <w:sz w:val="21"/>
        </w:rPr>
        <w:t>发表的 ρ = +0.29 是归一化的假象，不是力学灵敏度。</w:t>
      </w:r>
    </w:p>
    <w:p>
      <w:r>
        <w:rPr>
          <w:rFonts w:ascii="Times New Roman" w:hAnsi="Times New Roman" w:eastAsia="宋体"/>
          <w:b w:val="0"/>
          <w:i w:val="0"/>
          <w:sz w:val="21"/>
        </w:rPr>
        <w:t>另外两点：一阶指数之和 0.842，</w:t>
      </w:r>
      <w:r>
        <w:rPr>
          <w:rFonts w:ascii="Times New Roman" w:hAnsi="Times New Roman" w:eastAsia="宋体"/>
          <w:b/>
          <w:i w:val="0"/>
          <w:sz w:val="21"/>
        </w:rPr>
        <w:t>交互作用占方差 15.8%</w:t>
      </w:r>
      <w:r>
        <w:rPr>
          <w:rFonts w:ascii="Times New Roman" w:hAnsi="Times New Roman" w:eastAsia="宋体"/>
          <w:b w:val="0"/>
          <w:i w:val="0"/>
          <w:sz w:val="21"/>
        </w:rPr>
        <w:t>——秩相关完全看不见这部分；shell_coupling 按 Sobol 排第 2，比按 ρ 排的第 4 高一位。</w:t>
      </w:r>
    </w:p>
    <w:p>
      <w:r>
        <w:br w:type="page"/>
      </w:r>
    </w:p>
    <w:p>
      <w:pPr>
        <w:pStyle w:val="Heading1"/>
      </w:pPr>
      <w:r>
        <w:t>4　表述、精度与格式</w:t>
      </w:r>
    </w:p>
    <w:p>
      <w:pPr>
        <w:pStyle w:val="Heading2"/>
      </w:pPr>
      <w:r>
        <w:t>4.1　有效数字虚高</w:t>
      </w:r>
    </w:p>
    <w:p>
      <w:r>
        <w:rPr>
          <w:rFonts w:ascii="Times New Roman" w:hAnsi="Times New Roman" w:eastAsia="宋体"/>
          <w:b w:val="0"/>
          <w:i w:val="0"/>
          <w:sz w:val="21"/>
        </w:rPr>
        <w:t>离散化误差 ≥ 3.6%（同网格 P1/P2），跨离散化的组间变化散布 6.7 pp，但正文在报：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现在报的</w:t>
            </w:r>
          </w:p>
        </w:tc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应改为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−42.34%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−44%</w:t>
            </w:r>
            <w:r>
              <w:rPr>
                <w:rFonts w:ascii="Times New Roman" w:hAnsi="Times New Roman" w:eastAsia="宋体"/>
                <w:b w:val="0"/>
                <w:sz w:val="18"/>
              </w:rPr>
              <w:t>（或 −44.5%）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0.066064 / 0.038092 mN/m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0.066 / 0.038 mN/m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0.725517（源头 φ_s = 0.204 只有 3 位有效数字）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0.726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0.735031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0.735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−4.74% / −5.69% / −164.35%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一律降位，最后一个删掉改绝对差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规则：</w:t>
      </w:r>
      <w:r>
        <w:rPr>
          <w:rFonts w:ascii="Times New Roman" w:hAnsi="Times New Roman" w:eastAsia="宋体"/>
          <w:b/>
          <w:i w:val="0"/>
          <w:sz w:val="21"/>
        </w:rPr>
        <w:t>报告精度不能超过验证精度。</w:t>
      </w:r>
      <w:r>
        <w:rPr>
          <w:rFonts w:ascii="Times New Roman" w:hAnsi="Times New Roman" w:eastAsia="宋体"/>
          <w:b w:val="0"/>
          <w:i w:val="0"/>
          <w:sz w:val="21"/>
        </w:rPr>
        <w:t>这是审稿人最容易抓、也最伤信任的一类问题。</w:t>
      </w:r>
    </w:p>
    <w:p>
      <w:pPr>
        <w:pStyle w:val="Heading2"/>
      </w:pPr>
      <w:r>
        <w:t>4.2　0.735031 与 0.725517 不是同类量</w:t>
      </w:r>
    </w:p>
    <w:p>
      <w:r>
        <w:rPr>
          <w:rFonts w:ascii="Times New Roman" w:hAnsi="Times New Roman" w:eastAsia="宋体"/>
          <w:b w:val="0"/>
          <w:i w:val="0"/>
          <w:sz w:val="21"/>
        </w:rPr>
        <w:t>前者是</w:t>
      </w:r>
      <w:r>
        <w:rPr>
          <w:rFonts w:ascii="Times New Roman" w:hAnsi="Times New Roman" w:eastAsia="宋体"/>
          <w:b/>
          <w:i w:val="0"/>
          <w:sz w:val="21"/>
        </w:rPr>
        <w:t>外</w:t>
      </w:r>
      <w:r>
        <w:rPr>
          <w:rFonts w:ascii="Times New Roman" w:hAnsi="Times New Roman" w:eastAsia="宋体"/>
          <w:b w:val="0"/>
          <w:i w:val="0"/>
          <w:sz w:val="21"/>
        </w:rPr>
        <w:t>体积比（含收缩较少的壳），后者是核的自然体积比，拿它们说 close 是在比不同的东西。应该比同类：核的平衡体积比对 0.726。</w:t>
      </w:r>
    </w:p>
    <w:p>
      <w:pPr>
        <w:pStyle w:val="Heading2"/>
      </w:pPr>
      <w:r>
        <w:t>4.3　语言与格式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全文中英混排（§1、§6、§9、§10 大段中文），投稿版必须统一英文。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um → µm；phi_s → φ_s；1e-6 → 10⁻⁶；V/V0=phi_s+(1-phi_s)C0/C 应排成公式。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参考文献 1–5 在同一段里连排，需拆成条目。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prospective_validation_pending、corner_101011 这类程序内部标识符不应出现在正文散文里。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Nature 主刊正文不用 "1. What was modelled" 这种编号章节标题。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traditional percentage change 应为 relative change / percent change。</w:t>
      </w:r>
    </w:p>
    <w:p>
      <w:pPr>
        <w:pStyle w:val="Heading2"/>
      </w:pPr>
      <w:r>
        <w:t>4.4　可视化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S1/S2 的收敛图把 coarse P1 → coarse P2 → inter P1 → inter P2 → main P1 混排在一根轴上，掩盖了 P1 仍在漂而 P2 已平的结构；S2 柱状图 y 轴从 0 起，12% 的散布被压没。应按 h 分组、P1/P2 分两条线、y 轴放大。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Fig 2c 直方图右缘的蓝色尖峰是 1–99% 截断的堆积 bin，应在图注说明。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S3 的 max principal stress 点云呈盐椒噪声（相邻点在 −0.5 与 +2.5 kPa 间跳变），这是 P1 近不可压逐点应力噪声的直观形态，exploratory 定位正确，但应注明噪声来源是单元阶次而非物理。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/>
          <w:sz w:val="21"/>
        </w:rPr>
        <w:t>做得好的</w:t>
      </w:r>
      <w:r>
        <w:rPr>
          <w:rFonts w:ascii="Times New Roman" w:hAnsi="Times New Roman" w:eastAsia="宋体"/>
          <w:b w:val="0"/>
          <w:sz w:val="21"/>
        </w:rPr>
        <w:t>：S5 面板 d 已用有界对称变化量审计穿零分母问题，这个量应升入正文替代 traditional %；S2 三相体积分数 gate 双色条完全重合，数字化管线自检通过。</w:t>
      </w:r>
    </w:p>
    <w:p>
      <w:pPr>
        <w:pStyle w:val="Heading2"/>
      </w:pPr>
      <w:r>
        <w:t>4.5　可复现性（严重）</w:t>
      </w:r>
    </w:p>
    <w:p>
      <w:r>
        <w:rPr>
          <w:rFonts w:ascii="Times New Roman" w:hAnsi="Times New Roman" w:eastAsia="宋体"/>
          <w:b w:val="0"/>
          <w:i w:val="0"/>
          <w:sz w:val="21"/>
        </w:rPr>
        <w:t>投稿包 05_Source_Data 里的脚本</w:t>
      </w:r>
      <w:r>
        <w:rPr>
          <w:rFonts w:ascii="Times New Roman" w:hAnsi="Times New Roman" w:eastAsia="宋体"/>
          <w:b/>
          <w:i w:val="0"/>
          <w:sz w:val="21"/>
        </w:rPr>
        <w:t>无法独立运行</w:t>
      </w:r>
      <w:r>
        <w:rPr>
          <w:rFonts w:ascii="Times New Roman" w:hAnsi="Times New Roman" w:eastAsia="宋体"/>
          <w:b w:val="0"/>
          <w:i w:val="0"/>
          <w:sz w:val="21"/>
        </w:rPr>
        <w:t>——它 import 的以下内容一个都不在包里：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src/nuclear_envelope_fem/（nonlinear_solver、chromatin_heterogeneity、tags 等）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run_extreme_finite_deformation.py（提供 BASE_CONFIG、MESHES、_run_case）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run_vaziri_finan_two_group.py、validate_literature_reproduction.py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 xml:space="preserve">gmsh 网格 ellipsoid_core_shell.msh </w:t>
      </w:r>
      <w:r>
        <w:rPr>
          <w:rFonts w:ascii="Times New Roman" w:hAnsi="Times New Roman" w:eastAsia="宋体"/>
          <w:b/>
          <w:sz w:val="21"/>
        </w:rPr>
        <w:t>及其生成脚本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染色质体数据 reynolds_2021_figure2_chromatin_50cube.npz</w:t>
      </w:r>
    </w:p>
    <w:p>
      <w:r>
        <w:rPr>
          <w:rFonts w:ascii="Times New Roman" w:hAnsi="Times New Roman" w:eastAsia="宋体"/>
          <w:b w:val="0"/>
          <w:i w:val="0"/>
          <w:sz w:val="21"/>
        </w:rPr>
        <w:t>这与 §10 "custom code ... included in this local submission package" 的声明冲突，</w:t>
      </w:r>
      <w:r>
        <w:rPr>
          <w:rFonts w:ascii="Times New Roman" w:hAnsi="Times New Roman" w:eastAsia="宋体"/>
          <w:b/>
          <w:i w:val="0"/>
          <w:sz w:val="21"/>
        </w:rPr>
        <w:t>投稿前必须补齐</w:t>
      </w:r>
      <w:r>
        <w:rPr>
          <w:rFonts w:ascii="Times New Roman" w:hAnsi="Times New Roman" w:eastAsia="宋体"/>
          <w:b w:val="0"/>
          <w:i w:val="0"/>
          <w:sz w:val="21"/>
        </w:rPr>
        <w:t>，否则任何人都无法复现。此外 fixed-seed 没写种子数值；需要完整环境锁定（不只 scikit-fem 12.0.2，还有 numpy/scipy/BLAS 版本与线程数——MINRES 对这些敏感）。DOI 占位符的处理方式（§10 结尾那句禁令）是对的，保留。</w:t>
      </w:r>
    </w:p>
    <w:p>
      <w:r>
        <w:br w:type="page"/>
      </w:r>
    </w:p>
    <w:p>
      <w:pPr>
        <w:pStyle w:val="Heading1"/>
      </w:pPr>
      <w:r>
        <w:t>5　Flipper 验证方案</w:t>
      </w:r>
    </w:p>
    <w:p>
      <w:pPr>
        <w:pStyle w:val="Heading2"/>
      </w:pPr>
      <w:r>
        <w:t>5.1　观测量不匹配，方向关系未建立</w:t>
      </w:r>
    </w:p>
    <w:p>
      <w:r>
        <w:rPr>
          <w:rFonts w:ascii="Times New Roman" w:hAnsi="Times New Roman" w:eastAsia="宋体"/>
          <w:b w:val="0"/>
          <w:i w:val="0"/>
          <w:sz w:val="21"/>
        </w:rPr>
        <w:t>Flipper-TR 的寿命主要反映</w:t>
      </w:r>
      <w:r>
        <w:rPr>
          <w:rFonts w:ascii="Times New Roman" w:hAnsi="Times New Roman" w:eastAsia="宋体"/>
          <w:b/>
          <w:i w:val="0"/>
          <w:sz w:val="21"/>
        </w:rPr>
        <w:t>脂膜张力/脂质有序度</w:t>
      </w:r>
      <w:r>
        <w:rPr>
          <w:rFonts w:ascii="Times New Roman" w:hAnsi="Times New Roman" w:eastAsia="宋体"/>
          <w:b w:val="0"/>
          <w:i w:val="0"/>
          <w:sz w:val="21"/>
        </w:rPr>
        <w:t xml:space="preserve">，而作者明确声明 proxy </w:t>
      </w:r>
      <w:r>
        <w:rPr>
          <w:rFonts w:ascii="Times New Roman" w:hAnsi="Times New Roman" w:eastAsia="宋体"/>
          <w:b/>
          <w:i w:val="0"/>
          <w:sz w:val="21"/>
        </w:rPr>
        <w:t>不是</w:t>
      </w:r>
      <w:r>
        <w:rPr>
          <w:rFonts w:ascii="Times New Roman" w:hAnsi="Times New Roman" w:eastAsia="宋体"/>
          <w:b w:val="0"/>
          <w:i w:val="0"/>
          <w:sz w:val="21"/>
        </w:rPr>
        <w:t>脂膜张力。那么"lamina resultant 下降 → Flipper 寿命下降"这个方向关系本身就是一个未经证明的假设。现在的逻辑是：用假设 X 去检验预测 Y，而 X 与 Y 的联系没人验证过。</w:t>
      </w:r>
    </w:p>
    <w:p>
      <w:pPr>
        <w:pStyle w:val="Heading2"/>
      </w:pPr>
      <w:r>
        <w:t>5.2　高渗休克对 Flipper 有多重混杂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膜曲率变化（核变小 → 曲率升高）本身改变探针构象；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高渗直接改变脂质堆积/有序度，与张力无关；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胞内拥挤度、折射率、黏度改变影响 FLIM 拟合；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温度、成像时长。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21　</w:t>
            </w:r>
            <w:r>
              <w:rPr>
                <w:rFonts w:ascii="Times New Roman" w:hAnsi="Times New Roman" w:eastAsia="宋体"/>
                <w:b w:val="0"/>
                <w:sz w:val="20"/>
              </w:rPr>
              <w:t xml:space="preserve">① </w:t>
            </w:r>
            <w:r>
              <w:rPr>
                <w:rFonts w:ascii="Times New Roman" w:hAnsi="Times New Roman" w:eastAsia="宋体"/>
                <w:b/>
                <w:sz w:val="20"/>
              </w:rPr>
              <w:t>改做剂量–响应而非两点比较</w:t>
            </w:r>
            <w:r>
              <w:rPr>
                <w:rFonts w:ascii="Times New Roman" w:hAnsi="Times New Roman" w:eastAsia="宋体"/>
                <w:b w:val="0"/>
                <w:sz w:val="20"/>
              </w:rPr>
              <w:t>：测 380 / 450 / 520 / 580 mOsm 四个点，FEM 给出四点预测曲线——比"方向对不对"强得多，成本只多两组，</w:t>
            </w:r>
            <w:r>
              <w:rPr>
                <w:rFonts w:ascii="Times New Roman" w:hAnsi="Times New Roman" w:eastAsia="宋体"/>
                <w:b/>
                <w:sz w:val="20"/>
              </w:rPr>
              <w:t>投入产出比最高</w:t>
            </w:r>
            <w:r>
              <w:rPr>
                <w:rFonts w:ascii="Times New Roman" w:hAnsi="Times New Roman" w:eastAsia="宋体"/>
                <w:b w:val="0"/>
                <w:sz w:val="20"/>
              </w:rPr>
              <w:t>；② 加正交扰动对照（如 lamin A/C 敲低，显著改变 FEM 预测但对脂膜直接效应不同）；③ 加可逆性对照（换回 380 mOsm 看是否回复——渗透效应应可逆，光漂白/损伤不可逆）；④ 加张力无关的对照探针或膜序指标（Laurdan GP），把张力与脂质有序度两条通路分开；⑤ 明确测量时间点并与模型平衡态假设对齐（见 §2.8）；⑥ 补样本量/功效计算、盲法、预设效应量阈值。现有"不要把像素或单细胞当独立生物学重复"是对的，保留。</w:t>
            </w:r>
          </w:p>
        </w:tc>
      </w:tr>
    </w:tbl>
    <w:p>
      <w:pPr>
        <w:spacing w:after="40"/>
      </w:pPr>
    </w:p>
    <w:p>
      <w:pPr>
        <w:pStyle w:val="Heading2"/>
      </w:pPr>
      <w:r>
        <w:t>5.3　更便宜的第一道验证被漏掉了</w:t>
      </w:r>
    </w:p>
    <w:p>
      <w:r>
        <w:rPr>
          <w:rFonts w:ascii="Times New Roman" w:hAnsi="Times New Roman" w:eastAsia="宋体"/>
          <w:b w:val="0"/>
          <w:i w:val="0"/>
          <w:sz w:val="21"/>
        </w:rPr>
        <w:t>模型预测的</w:t>
      </w:r>
      <w:r>
        <w:rPr>
          <w:rFonts w:ascii="Times New Roman" w:hAnsi="Times New Roman" w:eastAsia="宋体"/>
          <w:b/>
          <w:i w:val="0"/>
          <w:sz w:val="21"/>
        </w:rPr>
        <w:t>三轴轴比变化</w:t>
      </w:r>
      <w:r>
        <w:rPr>
          <w:rFonts w:ascii="Times New Roman" w:hAnsi="Times New Roman" w:eastAsia="宋体"/>
          <w:b w:val="0"/>
          <w:i w:val="0"/>
          <w:sz w:val="21"/>
        </w:rPr>
        <w:t>是共聚焦直接可测的，成本远低于 FLIM，而且是模型的非平凡输出（体积比是输入，轴比不是）。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DF3D7"/>
          </w:tcPr>
          <w:p>
            <w:r/>
            <w:r>
              <w:rPr>
                <w:b/>
                <w:sz w:val="20"/>
              </w:rPr>
              <w:t xml:space="preserve">修改建议 22　</w:t>
            </w:r>
            <w:r>
              <w:rPr>
                <w:rFonts w:ascii="Times New Roman" w:hAnsi="Times New Roman" w:eastAsia="宋体"/>
                <w:b w:val="0"/>
                <w:sz w:val="20"/>
              </w:rPr>
              <w:t>把"预测的轴比/形态变化"提升为 Table S3 的一条 supported claim，作为第一道实验验证，配合 §2.9 的各向异性 F_g 敏感性一起做。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6　图审计摘要（9 张图逐张核对）</w:t>
      </w:r>
    </w:p>
    <w:p>
      <w:r>
        <w:rPr>
          <w:rFonts w:ascii="Times New Roman" w:hAnsi="Times New Roman" w:eastAsia="宋体"/>
          <w:b w:val="0"/>
          <w:i w:val="0"/>
          <w:sz w:val="21"/>
        </w:rPr>
        <w:t>Main Fig 1–3 与 S1–S6 全部与正文/Table S2 数字一致（−42.3%、0.0661/0.0381、V_nat=0.726/V_eq=0.735、corner_101011 的 −0.002078/−0.002486、Spearman 各值均对上），</w:t>
      </w:r>
      <w:r>
        <w:rPr>
          <w:rFonts w:ascii="Times New Roman" w:hAnsi="Times New Roman" w:eastAsia="宋体"/>
          <w:b/>
          <w:i w:val="0"/>
          <w:sz w:val="21"/>
        </w:rPr>
        <w:t>没有图文矛盾</w:t>
      </w:r>
      <w:r>
        <w:rPr>
          <w:rFonts w:ascii="Times New Roman" w:hAnsi="Times New Roman" w:eastAsia="宋体"/>
          <w:b w:val="0"/>
          <w:i w:val="0"/>
          <w:sz w:val="21"/>
        </w:rPr>
        <w:t>。但图中六个证据此前只能推测，现在有了直接依据：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编号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图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证据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影响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S4d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 xml:space="preserve">压缩面积 28.6% → </w:t>
            </w:r>
            <w:r>
              <w:rPr>
                <w:rFonts w:ascii="Times New Roman" w:hAnsi="Times New Roman" w:eastAsia="宋体"/>
                <w:b/>
                <w:sz w:val="18"/>
              </w:rPr>
              <w:t>62.6%</w:t>
            </w:r>
            <w:r>
              <w:rPr>
                <w:rFonts w:ascii="Times New Roman" w:hAnsi="Times New Roman" w:eastAsia="宋体"/>
                <w:b w:val="0"/>
                <w:sz w:val="18"/>
              </w:rPr>
              <w:t>，P5 从 −0.04 到 −0.075 mN/m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加重 §1.7 屈曲风险与 §2.10 端点选择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S2 左下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 xml:space="preserve">作者自题 locking audit：resolved shear max 差 ~21%、principal stress max 差 </w:t>
            </w:r>
            <w:r>
              <w:rPr>
                <w:rFonts w:ascii="Times New Roman" w:hAnsi="Times New Roman" w:eastAsia="宋体"/>
                <w:b/>
                <w:sz w:val="18"/>
              </w:rPr>
              <w:t>~72%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§1.6 换单元从"应该"变"必须"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高渗组残差在载荷因子 ≈0.62 处飙升两个数量级后回落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近失稳指纹，§1.7 特征值检查定位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S1 / Fig 2d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|u| 最大 ~2.1 µm（长半轴 28%）；对照组 V_eq = 1.002 &gt; 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变形是 O(1)，非小扰动；探针在轻微吹胀核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F5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Fig 3c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 xml:space="preserve">chromatin scale 的 ρ = </w:t>
            </w:r>
            <w:r>
              <w:rPr>
                <w:rFonts w:ascii="Times New Roman" w:hAnsi="Times New Roman" w:eastAsia="宋体"/>
                <w:b/>
                <w:sz w:val="18"/>
              </w:rPr>
              <w:t>−0.08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预告 §2.3 均质对照结果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S5b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128 个 UQ 残差散布到 ~1e-7 附近，图上门槛画在 1e-6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§1.5 门槛矛盾是实质问题</w:t>
            </w:r>
          </w:p>
        </w:tc>
      </w:tr>
    </w:tbl>
    <w:p>
      <w:pPr>
        <w:spacing w:after="40"/>
      </w:pPr>
    </w:p>
    <w:p>
      <w:pPr>
        <w:pStyle w:val="Heading1"/>
      </w:pPr>
      <w:r>
        <w:t>7　代码审计摘要（源码 9 650 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编号</w:t>
            </w:r>
          </w:p>
        </w:tc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结论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C1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探针实现正确</w:t>
            </w:r>
            <w:r>
              <w:rPr>
                <w:rFonts w:ascii="Times New Roman" w:hAnsi="Times New Roman" w:eastAsia="宋体"/>
                <w:b w:val="0"/>
                <w:sz w:val="18"/>
              </w:rPr>
              <w:t>，原 §2.4 指控撤回；遗留为表述问题（须写出张量定义与 dead-load 声明）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C2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预张力是 u=0 时零贡献的残差化初应力；proxy 的 Cauchy 含推前初应力（详见 §2.5）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C3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`core_heterogeneity_model="homogeneous"` 分支</w:t>
            </w:r>
            <w:r>
              <w:rPr>
                <w:rFonts w:ascii="Times New Roman" w:hAnsi="Times New Roman" w:eastAsia="宋体"/>
                <w:b/>
                <w:sz w:val="18"/>
              </w:rPr>
              <w:t>现成</w:t>
            </w:r>
            <w:r>
              <w:rPr>
                <w:rFonts w:ascii="Times New Roman" w:hAnsi="Times New Roman" w:eastAsia="宋体"/>
                <w:b w:val="0"/>
                <w:sz w:val="18"/>
              </w:rPr>
              <w:t>，均质对照只需改一个参数；Table S1 的 800 Pa/ν=0.45 即此分支的回退值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C4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proxy 公式定案：外表面切向主 Cauchy（含初应力）× (0.12 µm × 由 J/面积伸缩估计的法向厚度伸缩)，当前面积加权。自洽但正文一处未写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C5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材料逐四面体赋组（材料场随网格变）；壳为 gmsh 内缩 0.12 µm 实体薄层；</w:t>
            </w:r>
            <w:r>
              <w:rPr>
                <w:rFonts w:ascii="Times New Roman" w:hAnsi="Times New Roman" w:eastAsia="宋体"/>
                <w:b/>
                <w:sz w:val="18"/>
              </w:rPr>
              <w:t>.msh 生成脚本不在包里</w:t>
            </w:r>
            <w:r>
              <w:rPr>
                <w:rFonts w:ascii="Times New Roman" w:hAnsi="Times New Roman" w:eastAsia="宋体"/>
                <w:b w:val="0"/>
                <w:sz w:val="18"/>
              </w:rPr>
              <w:t>（见 §4.5）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C6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 xml:space="preserve">`stability_modes` 求解器默认 6、实现完整，但运行脚本显式设为 </w:t>
            </w:r>
            <w:r>
              <w:rPr>
                <w:rFonts w:ascii="Times New Roman" w:hAnsi="Times New Roman" w:eastAsia="宋体"/>
                <w:b/>
                <w:sz w:val="18"/>
              </w:rPr>
              <w:t>0</w:t>
            </w:r>
            <w:r>
              <w:rPr>
                <w:rFonts w:ascii="Times New Roman" w:hAnsi="Times New Roman" w:eastAsia="宋体"/>
                <w:b w:val="0"/>
                <w:sz w:val="18"/>
              </w:rPr>
              <w:t>（见 §1.7）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C7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 xml:space="preserve">`axis_scale_factors` 钩子已存在，各向异性 F_g </w:t>
            </w:r>
            <w:r>
              <w:rPr>
                <w:rFonts w:ascii="Times New Roman" w:hAnsi="Times New Roman" w:eastAsia="宋体"/>
                <w:b/>
                <w:sz w:val="18"/>
              </w:rPr>
              <w:t>无需改上游代码</w:t>
            </w:r>
            <w:r>
              <w:rPr>
                <w:rFonts w:ascii="Times New Roman" w:hAnsi="Times New Roman" w:eastAsia="宋体"/>
                <w:b w:val="0"/>
                <w:sz w:val="18"/>
              </w:rPr>
              <w:t>（见 §2.9）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C8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核-壳界面耦合</w:t>
            </w:r>
            <w:r>
              <w:rPr>
                <w:rFonts w:ascii="Times New Roman" w:hAnsi="Times New Roman" w:eastAsia="宋体"/>
                <w:b/>
                <w:sz w:val="18"/>
              </w:rPr>
              <w:t>没有旋钮</w:t>
            </w:r>
            <w:r>
              <w:rPr>
                <w:rFonts w:ascii="Times New Roman" w:hAnsi="Times New Roman" w:eastAsia="宋体"/>
                <w:b w:val="0"/>
                <w:sz w:val="18"/>
              </w:rPr>
              <w:t>：核与壳是同一 basis 的单元子集，界面节点即同一批未知量，无界面积分项（见 §3.3）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8　修改建议总表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建议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对应节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求解次数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production 换 P2，头条改 −44.5%，Table S2 加组间变化列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§1.1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重写收敛论证：Control 报 GCI，Hyperosmotic 声明非单调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§1.2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补壳单元/proxy 公式；材料场改网格无关投影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production 用 P2 或混合单元；加锁定诊断图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打开 stability_modes，报告最小特征值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§1.7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复用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代码验证三件套（FD 切线 / 解析基准 / 独立软件）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§1.8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~10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方向性改为解析结论；Main Fig 3 改放幅度分解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§2.1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机制分解（预张力/探针/完整）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§2.2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均质核对照（Voigt/Reuss 等效模量）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§2.3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写出探针应力张量定义与 dead-load 声明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§2.4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声明虚拟平衡载荷假设；初始态自检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§2.5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壳改膜/近不可压公式；报告 J_e(shell) 分布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重跑主算例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Table S1 标注均质回退值；ν 只留一个来源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§2.7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各向异性 F_g ＋ 轴比预测入 claims 矩阵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§2.9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15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主端点换成不会抵消的量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§2.10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构造能给出相反预测的竞争假设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§3.1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17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±10% 带 6 例 ＋ 分层抽样在 P2 重跑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§3.2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18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壳厚加入参数盒（界面耦合列为局限）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§3.3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19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灰度映射形状不确定度（3–4 个单调映射）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§3.4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~8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代理最不利点的真实求解验证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§3.5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21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Flipper 改剂量–响应 ＋ 正交/可逆/序参量对照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§5.2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轴比预测升为 supported claim ＋ 第一道验证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§5.3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</w:tr>
      <w:tr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23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相分数门槛对每张网格逐一检查并列入 Table S2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§1.9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—</w:t>
            </w:r>
          </w:p>
        </w:tc>
      </w:tr>
    </w:tbl>
    <w:p>
      <w:pPr>
        <w:spacing w:after="40"/>
      </w:pPr>
    </w:p>
    <w:p>
      <w:pPr>
        <w:pStyle w:val="Heading1"/>
      </w:pPr>
      <w:r>
        <w:t>9　优先级与工作量</w:t>
      </w:r>
    </w:p>
    <w:p>
      <w:pPr>
        <w:pStyle w:val="Heading2"/>
      </w:pPr>
      <w:r>
        <w:t>9.1　第一梯队 —— 不做就会被拒（约 2–3 天，多数是算力）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动作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建议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求解次数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机制分解：pretension=0 / probe=0 / 完整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8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均质核对照（先算 Voigt/Reuss 等效模量）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9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production 换 P2，补 main_h0p45_P2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</w:tr>
      <w:tr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相分数门槛逐网格检查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23</w:t>
            </w:r>
          </w:p>
        </w:tc>
        <w:tc>
          <w:tcPr>
            <w:tcW w:type="dxa" w:w="3173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头条数字改 −44%，全文有效数字降位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写清壳单元公式、proxy 定义式、探针张量定义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3, 10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相对残差替代绝对残差；统一 1e-6/1e-7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高渗组非单调收敛如实报告，重写 Table S3 reason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补齐可复现性缺口（src/、网格生成脚本、npz、种子）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</w:tbl>
    <w:p>
      <w:pPr>
        <w:spacing w:after="40"/>
      </w:pPr>
    </w:p>
    <w:p>
      <w:pPr>
        <w:pStyle w:val="Heading2"/>
      </w:pPr>
      <w:r>
        <w:t>9.2　第二梯队 —— 决定能投什么档次（1–2 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动作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建议</w:t>
            </w:r>
          </w:p>
        </w:tc>
        <w:tc>
          <w:tcPr>
            <w:tcW w:type="dxa" w:w="3173"/>
            <w:shd w:val="clear" w:fill="F0F4F7"/>
          </w:tcPr>
          <w:p>
            <w:r/>
            <w:r>
              <w:rPr>
                <w:b/>
                <w:sz w:val="18"/>
              </w:rPr>
              <w:t>求解次数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解析推导入正文，重构 Fig 3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7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材料场网格无关投影 ＋ 积分阶检查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3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稳定性检查（投影切线最小特征值）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5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复用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代码验证三件套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~10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±10% 带 6 例 ＋ 分层抽样在 P2 重跑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17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代理 ＋ Sobol ＋ 连续域最不利点搜索与验证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20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~10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壳厚加入参数盒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18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各向异性 F_g ＋ 轴比预测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14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</w:tr>
      <w:tr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壳改膜/近不可压公式</w:t>
            </w:r>
          </w:p>
        </w:tc>
        <w:tc>
          <w:tcPr>
            <w:tcW w:type="dxa" w:w="3173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12</w:t>
            </w:r>
          </w:p>
        </w:tc>
        <w:tc>
          <w:tcPr>
            <w:tcW w:type="dxa" w:w="3173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重跑主算例</w:t>
            </w:r>
          </w:p>
        </w:tc>
      </w:tr>
    </w:tbl>
    <w:p>
      <w:pPr>
        <w:spacing w:after="40"/>
      </w:pPr>
    </w:p>
    <w:p>
      <w:pPr>
        <w:pStyle w:val="Heading2"/>
      </w:pPr>
      <w:r>
        <w:t>9.3　第三梯队 —— 提升科学分量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动作</w:t>
            </w:r>
          </w:p>
        </w:tc>
        <w:tc>
          <w:tcPr>
            <w:tcW w:type="dxa" w:w="4759"/>
            <w:shd w:val="clear" w:fill="F0F4F7"/>
          </w:tcPr>
          <w:p>
            <w:r/>
            <w:r>
              <w:rPr>
                <w:b/>
                <w:sz w:val="18"/>
              </w:rPr>
              <w:t>建议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构造能给出相反方向的竞争假设，做成判决性实验</w:t>
            </w:r>
          </w:p>
        </w:tc>
        <w:tc>
          <w:tcPr>
            <w:tcW w:type="dxa" w:w="475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16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灰度映射形状不确定度</w:t>
            </w:r>
          </w:p>
        </w:tc>
        <w:tc>
          <w:tcPr>
            <w:tcW w:type="dxa" w:w="475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19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Flipper 改剂量–响应 ＋ 正交扰动 ＋ 可逆性 ＋ 序参量对照</w:t>
            </w:r>
          </w:p>
        </w:tc>
        <w:tc>
          <w:tcPr>
            <w:tcW w:type="dxa" w:w="475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21</w:t>
            </w:r>
          </w:p>
        </w:tc>
      </w:tr>
      <w:tr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全文统一英文、Nature 格式化、参考文献拆条</w:t>
            </w:r>
          </w:p>
        </w:tc>
        <w:tc>
          <w:tcPr>
            <w:tcW w:type="dxa" w:w="475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10　补算脚本</w:t>
      </w:r>
    </w:p>
    <w:p>
      <w:r>
        <w:rPr>
          <w:rFonts w:ascii="Times New Roman" w:hAnsi="Times New Roman" w:eastAsia="宋体"/>
          <w:b w:val="0"/>
          <w:i w:val="0"/>
          <w:sz w:val="21"/>
        </w:rPr>
        <w:t>全部脚本</w:t>
      </w:r>
      <w:r>
        <w:rPr>
          <w:rFonts w:ascii="Times New Roman" w:hAnsi="Times New Roman" w:eastAsia="宋体"/>
          <w:b/>
          <w:i w:val="0"/>
          <w:sz w:val="21"/>
        </w:rPr>
        <w:t>只驱动现有代码，不修改任何上游源文件</w:t>
      </w:r>
      <w:r>
        <w:rPr>
          <w:rFonts w:ascii="Times New Roman" w:hAnsi="Times New Roman" w:eastAsia="宋体"/>
          <w:b w:val="0"/>
          <w:i w:val="0"/>
          <w:sz w:val="21"/>
        </w:rPr>
        <w:t>——两个没有命令行开关的选项（均质核、稳定性模态）用运行时 patch _options 实现，上游代码树保持干净可 diff。每个脚本都支持 --dry-run。在线下载：https://fenxi.aiimage.icu （"脚本下载"一节）。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518"/>
      </w:tblGrid>
      <w:tr>
        <w:tc>
          <w:tcPr>
            <w:tcW w:type="dxa" w:w="9518"/>
            <w:shd w:val="clear" w:fill="FBEAE7"/>
          </w:tcPr>
          <w:p>
            <w:r/>
            <w:r>
              <w:rPr>
                <w:b/>
                <w:sz w:val="20"/>
              </w:rPr>
              <w:t xml:space="preserve">前提　</w:t>
            </w:r>
            <w:r>
              <w:rPr>
                <w:rFonts w:ascii="Times New Roman" w:hAnsi="Times New Roman" w:eastAsia="宋体"/>
                <w:b w:val="0"/>
                <w:sz w:val="20"/>
              </w:rPr>
              <w:t>脚本的 --project-root 必须指向</w:t>
            </w:r>
            <w:r>
              <w:rPr>
                <w:rFonts w:ascii="Times New Roman" w:hAnsi="Times New Roman" w:eastAsia="宋体"/>
                <w:b/>
                <w:sz w:val="20"/>
              </w:rPr>
              <w:t>真实工程树</w:t>
            </w:r>
            <w:r>
              <w:rPr>
                <w:rFonts w:ascii="Times New Roman" w:hAnsi="Times New Roman" w:eastAsia="宋体"/>
                <w:b w:val="0"/>
                <w:sz w:val="20"/>
              </w:rPr>
              <w:t>，不能是解压出来的投稿包（原因见 §4.5）。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文件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作用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求解次数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验证状态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_common.py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共用：导入上游 runner、运行时 patch、读端点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—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01_run_main_p2.sh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production 换 P2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2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02_run_mechanism_decomposition.py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预张力/探针/完整 三配置分解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03_run_homogeneous_control.py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均质核对照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4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04_equivalent_core_modulus.py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Voigt/Reuss 等效模量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05_run_stability_check.py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打开 stability_modes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复用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06_collect_results.py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修订版 Table S2 ＋ 分解表 ＋ 对照表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回归验证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10_material_projection_convergence.py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材料场混叠诊断 ＋ 积分阶零对照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已复现 1.54% 缺口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11_verify_tangent_fd.py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一致切线 vs 中心差分（4 分支 ＋ 对称性）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FD 机制已验证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12_benchmark_thick_sphere.py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厚壁球基准（精确恒等式 ＋ 1D BVP 参考）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参考 ODE 交叉验证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13_rerun_transition_band.py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±10% 带 ＋ 分层抽样在 P2 重跑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带内成员逐位复现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14_surrogate_sobol_worstcase.py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代理 ＋ Sobol ＋ 单调性 ＋ 最不利点搜索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已在真实 141 点实跑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15_extended_parameter_box.py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壳厚扩参数盒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~30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锚点复现 −37.9057%</w:t>
            </w:r>
          </w:p>
        </w:tc>
      </w:tr>
      <w:tr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16_anisotropic_growth_axis_ratio.py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各向异性 F_g ＋ 轴比预测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~6</w:t>
            </w:r>
          </w:p>
        </w:tc>
        <w:tc>
          <w:tcPr>
            <w:tcW w:type="dxa" w:w="2379"/>
            <w:shd w:val="clear" w:fill="FBEAE7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体积守恒 1e-15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17_analytic_membrane_reference.py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解析分解：预张力不变性 ＋ 闭式膜合力 ＋ 单调性</w:t>
            </w:r>
          </w:p>
        </w:tc>
        <w:tc>
          <w:tcPr>
            <w:tcW w:type="dxa" w:w="2379"/>
          </w:tcPr>
          <w:p>
            <w:pPr>
              <w:spacing w:after="20"/>
              <w:jc w:val="right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0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已运行</w:t>
            </w:r>
          </w:p>
        </w:tc>
      </w:tr>
    </w:tbl>
    <w:p>
      <w:pPr>
        <w:spacing w:after="40"/>
      </w:pPr>
    </w:p>
    <w:p>
      <w:r>
        <w:rPr>
          <w:rFonts w:ascii="Times New Roman" w:hAnsi="Times New Roman" w:eastAsia="宋体"/>
          <w:b w:val="0"/>
          <w:i w:val="0"/>
          <w:sz w:val="21"/>
        </w:rPr>
        <w:t>06_collect_results.py 已用已发表的 Table S2 数据回归验证，输出与手工复算逐位一致；收敛判定内置且不迁就——非单调就拒绝出 GCI 并说明理由。</w:t>
      </w:r>
    </w:p>
    <w:p>
      <w:pPr>
        <w:pStyle w:val="Heading2"/>
      </w:pPr>
      <w:r>
        <w:t>10.1　这批脚本改不了的四件事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材料场随网格变（逐四面体赋组），需网格无关的 L² 投影；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壳是 ν=0.35 的可压缩实体薄层，最小 J_e≈0.69 即 31% 体积压缩，应改膜/近不可压公式；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proxy 公式与探针应力张量定义正文缺失（代码里都有，照抄即可）；</w:t>
      </w:r>
    </w:p>
    <w:p>
      <w:pPr>
        <w:pStyle w:val="ListBullet"/>
        <w:spacing w:after="60"/>
      </w:pPr>
      <w:r>
        <w:rPr>
          <w:rFonts w:ascii="Times New Roman" w:hAnsi="Times New Roman" w:eastAsia="宋体"/>
          <w:b w:val="0"/>
          <w:sz w:val="21"/>
        </w:rPr>
        <w:t>§2.5 那个虚拟平衡载荷假设必须写明。</w:t>
      </w:r>
    </w:p>
    <w:p>
      <w:pPr>
        <w:pStyle w:val="Heading1"/>
      </w:pPr>
      <w:r>
        <w:t>11　撤回与修正记录</w:t>
      </w:r>
    </w:p>
    <w:p>
      <w:r>
        <w:rPr>
          <w:rFonts w:ascii="Times New Roman" w:hAnsi="Times New Roman" w:eastAsia="宋体"/>
          <w:b w:val="0"/>
          <w:i w:val="0"/>
          <w:sz w:val="21"/>
        </w:rPr>
        <w:t>按学术诚信惯例，本节完整列出第二版相对首版的所有改动。撤回的结论在正文原位保留标注，未做静默重写。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79"/>
        <w:gridCol w:w="2379"/>
        <w:gridCol w:w="2379"/>
        <w:gridCol w:w="2379"/>
      </w:tblGrid>
      <w:tr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条目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首版结论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第二版</w:t>
            </w:r>
          </w:p>
        </w:tc>
        <w:tc>
          <w:tcPr>
            <w:tcW w:type="dxa" w:w="2379"/>
            <w:shd w:val="clear" w:fill="F0F4F7"/>
          </w:tcPr>
          <w:p>
            <w:r/>
            <w:r>
              <w:rPr>
                <w:b/>
                <w:sz w:val="18"/>
              </w:rPr>
              <w:t>依据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§2.4 探针载荷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"名实不符，t₀=P̄·N 是压力不是剪切"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撤回</w:t>
            </w:r>
            <w:r>
              <w:rPr>
                <w:rFonts w:ascii="Times New Roman" w:hAnsi="Times New Roman" w:eastAsia="宋体"/>
                <w:b w:val="0"/>
                <w:sz w:val="18"/>
              </w:rPr>
              <w:t>，降级为表述问题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源码：σ = τ(eₓ⊗e_y+e_y⊗eₓ) 确为剪切且自平衡（第三轮）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§2.2 预张力归因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"−42% 里约 76% 是预张力在松弛"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撤回</w:t>
            </w:r>
            <w:r>
              <w:rPr>
                <w:rFonts w:ascii="Times New Roman" w:hAnsi="Times New Roman" w:eastAsia="宋体"/>
                <w:b w:val="0"/>
                <w:sz w:val="18"/>
              </w:rPr>
              <w:t>直接归因；改为"分母 76% 是假设常数、弹性合力变号"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闭式推导 ＋ 200 随机变形数值验证（第四轮）；Sobol 总效应 = 0（第五轮）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§1.3 极限不一致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"几乎肯定是材料重采样为主因"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精化</w:t>
            </w:r>
            <w:r>
              <w:rPr>
                <w:rFonts w:ascii="Times New Roman" w:hAnsi="Times New Roman" w:eastAsia="宋体"/>
                <w:b w:val="0"/>
                <w:sz w:val="18"/>
              </w:rPr>
              <w:t>为两条可分离病因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同网格 P1/P2 相分数逐位相同（第五轮）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§1.9 / 建议 23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（无）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新增</w:t>
            </w:r>
            <w:r>
              <w:rPr>
                <w:rFonts w:ascii="Times New Roman" w:hAnsi="Times New Roman" w:eastAsia="宋体"/>
                <w:b w:val="0"/>
                <w:sz w:val="18"/>
              </w:rPr>
              <w:t>，优先级等同第一梯队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粗网格相分数超门槛 3.1 倍且只查 primary（第五轮）</w:t>
            </w:r>
          </w:p>
        </w:tc>
      </w:tr>
      <w:tr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§4.3 文件格式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疑似 Table S4 XML 外溢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/>
                <w:sz w:val="18"/>
              </w:rPr>
              <w:t>排除</w:t>
            </w:r>
            <w:r>
              <w:rPr>
                <w:rFonts w:ascii="Times New Roman" w:hAnsi="Times New Roman" w:eastAsia="宋体"/>
                <w:b w:val="0"/>
                <w:sz w:val="18"/>
              </w:rPr>
              <w:t>，是解析器吃掉 9 个自闭合标签所致</w:t>
            </w:r>
          </w:p>
        </w:tc>
        <w:tc>
          <w:tcPr>
            <w:tcW w:type="dxa" w:w="2379"/>
          </w:tcPr>
          <w:p>
            <w:pPr>
              <w:spacing w:after="20"/>
            </w:pPr>
            <w:r/>
            <w:r>
              <w:rPr>
                <w:rFonts w:ascii="Times New Roman" w:hAnsi="Times New Roman" w:eastAsia="宋体"/>
                <w:b w:val="0"/>
                <w:sz w:val="18"/>
              </w:rPr>
              <w:t>docx 本身格式完好</w:t>
            </w:r>
          </w:p>
        </w:tc>
      </w:tr>
    </w:tbl>
    <w:p>
      <w:pPr>
        <w:spacing w:after="40"/>
      </w:pPr>
    </w:p>
    <w:p/>
    <w:p>
      <w:pPr>
        <w:jc w:val="center"/>
      </w:pPr>
      <w:r>
        <w:rPr>
          <w:rFonts w:ascii="Times New Roman" w:hAnsi="Times New Roman" w:eastAsia="宋体"/>
          <w:b w:val="0"/>
          <w:i w:val="0"/>
          <w:color w:val="4B5A6A"/>
          <w:sz w:val="21"/>
        </w:rPr>
        <w:t>—— 报告完 ——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Times New Roman" w:hAnsi="Times New Roman" w:eastAsia="宋体"/>
      <w:color w:val="1C25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color w:val="1C253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color w:val="245A7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color w:val="1C253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